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80"/>
      </w:tblGrid>
      <w:tr w:rsidR="00E3097E" w14:paraId="6F922651" w14:textId="77777777" w:rsidTr="00DD72F1">
        <w:trPr>
          <w:trHeight w:val="1127"/>
        </w:trPr>
        <w:tc>
          <w:tcPr>
            <w:tcW w:w="2866" w:type="dxa"/>
          </w:tcPr>
          <w:p w14:paraId="0DD041C1" w14:textId="77777777" w:rsidR="00E3097E" w:rsidRDefault="00E3097E" w:rsidP="00DD72F1">
            <w:pPr>
              <w:pStyle w:val="TableParagraph"/>
              <w:spacing w:before="1"/>
              <w:ind w:left="0"/>
              <w:rPr>
                <w:rFonts w:ascii="Times New Roman"/>
                <w:sz w:val="7"/>
              </w:rPr>
            </w:pPr>
          </w:p>
          <w:p w14:paraId="09774B22" w14:textId="77777777" w:rsidR="00E3097E" w:rsidRDefault="00E3097E" w:rsidP="00DD72F1">
            <w:pPr>
              <w:pStyle w:val="TableParagraph"/>
              <w:ind w:left="158"/>
              <w:rPr>
                <w:rFonts w:ascii="Times New Roman"/>
                <w:sz w:val="20"/>
              </w:rPr>
            </w:pPr>
            <w:r>
              <w:rPr>
                <w:rFonts w:ascii="Times New Roman"/>
                <w:noProof/>
                <w:sz w:val="20"/>
              </w:rPr>
              <w:drawing>
                <wp:inline distT="0" distB="0" distL="0" distR="0" wp14:anchorId="54D4EACF" wp14:editId="0740EAEF">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0" cstate="print"/>
                          <a:stretch>
                            <a:fillRect/>
                          </a:stretch>
                        </pic:blipFill>
                        <pic:spPr>
                          <a:xfrm>
                            <a:off x="0" y="0"/>
                            <a:ext cx="1614030" cy="595883"/>
                          </a:xfrm>
                          <a:prstGeom prst="rect">
                            <a:avLst/>
                          </a:prstGeom>
                        </pic:spPr>
                      </pic:pic>
                    </a:graphicData>
                  </a:graphic>
                </wp:inline>
              </w:drawing>
            </w:r>
          </w:p>
        </w:tc>
        <w:tc>
          <w:tcPr>
            <w:tcW w:w="6380" w:type="dxa"/>
          </w:tcPr>
          <w:p w14:paraId="4089FC71" w14:textId="78907AF9" w:rsidR="00E3097E" w:rsidRDefault="00E3097E" w:rsidP="00DD72F1">
            <w:pPr>
              <w:pStyle w:val="TableParagraph"/>
              <w:spacing w:before="11" w:line="256" w:lineRule="auto"/>
              <w:ind w:right="1483"/>
              <w:rPr>
                <w:b/>
                <w:sz w:val="32"/>
              </w:rPr>
            </w:pPr>
            <w:r>
              <w:rPr>
                <w:b/>
                <w:sz w:val="32"/>
              </w:rPr>
              <w:t>Technical</w:t>
            </w:r>
            <w:r w:rsidRPr="00BF1E51">
              <w:rPr>
                <w:b/>
                <w:sz w:val="32"/>
              </w:rPr>
              <w:t xml:space="preserve"> </w:t>
            </w:r>
            <w:r>
              <w:rPr>
                <w:b/>
                <w:sz w:val="32"/>
              </w:rPr>
              <w:t>Data</w:t>
            </w:r>
            <w:r w:rsidRPr="00BF1E51">
              <w:rPr>
                <w:b/>
                <w:sz w:val="32"/>
              </w:rPr>
              <w:t xml:space="preserve"> </w:t>
            </w:r>
            <w:r>
              <w:rPr>
                <w:b/>
                <w:sz w:val="32"/>
              </w:rPr>
              <w:t>Sheet</w:t>
            </w:r>
            <w:r w:rsidRPr="00BF1E51">
              <w:rPr>
                <w:b/>
                <w:sz w:val="32"/>
              </w:rPr>
              <w:t xml:space="preserve"> </w:t>
            </w:r>
            <w:r>
              <w:rPr>
                <w:b/>
                <w:sz w:val="32"/>
              </w:rPr>
              <w:t>No.1</w:t>
            </w:r>
            <w:r w:rsidR="00D50C9B">
              <w:rPr>
                <w:b/>
                <w:sz w:val="32"/>
              </w:rPr>
              <w:t>1</w:t>
            </w:r>
            <w:r>
              <w:rPr>
                <w:b/>
                <w:sz w:val="32"/>
              </w:rPr>
              <w:t xml:space="preserve"> </w:t>
            </w:r>
            <w:r w:rsidRPr="00E3097E">
              <w:rPr>
                <w:b/>
                <w:color w:val="87BE2A"/>
                <w:sz w:val="32"/>
              </w:rPr>
              <w:t>Bitumen Emulsions for Storage</w:t>
            </w:r>
            <w:r w:rsidR="00075DFB">
              <w:rPr>
                <w:b/>
                <w:color w:val="87BE2A"/>
                <w:sz w:val="32"/>
              </w:rPr>
              <w:t xml:space="preserve"> G</w:t>
            </w:r>
            <w:r w:rsidRPr="00E3097E">
              <w:rPr>
                <w:b/>
                <w:color w:val="87BE2A"/>
                <w:sz w:val="32"/>
              </w:rPr>
              <w:t>rade Macadams</w:t>
            </w:r>
          </w:p>
          <w:p w14:paraId="08A65186" w14:textId="4890635C" w:rsidR="00E3097E" w:rsidRDefault="00E3097E" w:rsidP="00DD72F1">
            <w:pPr>
              <w:pStyle w:val="TableParagraph"/>
              <w:spacing w:line="232" w:lineRule="exact"/>
              <w:rPr>
                <w:sz w:val="20"/>
              </w:rPr>
            </w:pPr>
            <w:r>
              <w:rPr>
                <w:sz w:val="20"/>
              </w:rPr>
              <w:t>Revised</w:t>
            </w:r>
            <w:r w:rsidRPr="00C610C5">
              <w:rPr>
                <w:sz w:val="20"/>
              </w:rPr>
              <w:t xml:space="preserve"> </w:t>
            </w:r>
            <w:r>
              <w:rPr>
                <w:sz w:val="20"/>
              </w:rPr>
              <w:t>by</w:t>
            </w:r>
            <w:r w:rsidRPr="00C610C5">
              <w:rPr>
                <w:sz w:val="20"/>
              </w:rPr>
              <w:t xml:space="preserve"> </w:t>
            </w:r>
            <w:r>
              <w:rPr>
                <w:sz w:val="20"/>
              </w:rPr>
              <w:t>the</w:t>
            </w:r>
            <w:r w:rsidRPr="00C610C5">
              <w:rPr>
                <w:sz w:val="20"/>
              </w:rPr>
              <w:t xml:space="preserve"> </w:t>
            </w:r>
            <w:r>
              <w:rPr>
                <w:sz w:val="20"/>
              </w:rPr>
              <w:t>Association’s</w:t>
            </w:r>
            <w:r w:rsidRPr="00C610C5">
              <w:rPr>
                <w:sz w:val="20"/>
              </w:rPr>
              <w:t xml:space="preserve"> </w:t>
            </w:r>
            <w:r>
              <w:rPr>
                <w:sz w:val="20"/>
              </w:rPr>
              <w:t>Technical</w:t>
            </w:r>
            <w:r w:rsidRPr="00C610C5">
              <w:rPr>
                <w:sz w:val="20"/>
              </w:rPr>
              <w:t xml:space="preserve"> </w:t>
            </w:r>
            <w:r>
              <w:rPr>
                <w:sz w:val="20"/>
              </w:rPr>
              <w:t>Committee</w:t>
            </w:r>
            <w:r w:rsidRPr="00C610C5">
              <w:rPr>
                <w:sz w:val="20"/>
              </w:rPr>
              <w:t xml:space="preserve"> </w:t>
            </w:r>
            <w:r>
              <w:rPr>
                <w:sz w:val="20"/>
              </w:rPr>
              <w:t>-</w:t>
            </w:r>
            <w:r w:rsidRPr="00C610C5">
              <w:rPr>
                <w:sz w:val="20"/>
              </w:rPr>
              <w:t xml:space="preserve"> </w:t>
            </w:r>
            <w:r w:rsidR="00CE03CB">
              <w:rPr>
                <w:sz w:val="20"/>
              </w:rPr>
              <w:t>August</w:t>
            </w:r>
            <w:r>
              <w:rPr>
                <w:sz w:val="20"/>
              </w:rPr>
              <w:t xml:space="preserve"> 202</w:t>
            </w:r>
            <w:r w:rsidR="00A565D5">
              <w:rPr>
                <w:sz w:val="20"/>
              </w:rPr>
              <w:t>5</w:t>
            </w:r>
          </w:p>
        </w:tc>
      </w:tr>
    </w:tbl>
    <w:p w14:paraId="26AC6639" w14:textId="77777777" w:rsidR="00E3097E" w:rsidRDefault="00E3097E" w:rsidP="0084124D">
      <w:pPr>
        <w:jc w:val="both"/>
      </w:pPr>
    </w:p>
    <w:p w14:paraId="68DE5F83" w14:textId="1548D8A8" w:rsidR="0084124D" w:rsidRPr="00E3097E" w:rsidRDefault="0084124D" w:rsidP="0084124D">
      <w:pPr>
        <w:jc w:val="both"/>
        <w:rPr>
          <w:rFonts w:ascii="Trebuchet MS" w:hAnsi="Trebuchet MS"/>
          <w:b/>
          <w:bCs/>
        </w:rPr>
      </w:pPr>
      <w:r w:rsidRPr="00E3097E">
        <w:rPr>
          <w:rFonts w:ascii="Trebuchet MS" w:hAnsi="Trebuchet MS"/>
          <w:b/>
          <w:bCs/>
        </w:rPr>
        <w:t xml:space="preserve">1. Introduction </w:t>
      </w:r>
    </w:p>
    <w:p w14:paraId="718E8DA7" w14:textId="1F24FBD8" w:rsidR="0084124D" w:rsidRPr="00E3097E" w:rsidRDefault="0084124D" w:rsidP="00320DB4">
      <w:pPr>
        <w:jc w:val="both"/>
        <w:rPr>
          <w:rFonts w:ascii="Trebuchet MS" w:hAnsi="Trebuchet MS"/>
        </w:rPr>
      </w:pPr>
      <w:r w:rsidRPr="00E3097E">
        <w:rPr>
          <w:rFonts w:ascii="Trebuchet MS" w:hAnsi="Trebuchet MS"/>
        </w:rPr>
        <w:t xml:space="preserve">Storage grade bituminous mixtures are produced by coating mixed aggregates with hot bitumen and flux oils. The flux oils modify the binder viscosity and extend the storage life of the finished product. </w:t>
      </w:r>
    </w:p>
    <w:p w14:paraId="310EF846" w14:textId="77777777" w:rsidR="0084124D" w:rsidRPr="00E3097E" w:rsidRDefault="0084124D" w:rsidP="00320DB4">
      <w:pPr>
        <w:jc w:val="both"/>
        <w:rPr>
          <w:rFonts w:ascii="Trebuchet MS" w:hAnsi="Trebuchet MS"/>
        </w:rPr>
      </w:pPr>
      <w:r w:rsidRPr="00E3097E">
        <w:rPr>
          <w:rFonts w:ascii="Trebuchet MS" w:hAnsi="Trebuchet MS"/>
        </w:rPr>
        <w:t xml:space="preserve">Storage grade materials are used in temporary or permanent trench reinstatements and emergency patching. The bituminous mixture may be stockpiled for </w:t>
      </w:r>
      <w:proofErr w:type="gramStart"/>
      <w:r w:rsidRPr="00E3097E">
        <w:rPr>
          <w:rFonts w:ascii="Trebuchet MS" w:hAnsi="Trebuchet MS"/>
        </w:rPr>
        <w:t>a period of time</w:t>
      </w:r>
      <w:proofErr w:type="gramEnd"/>
      <w:r w:rsidRPr="00E3097E">
        <w:rPr>
          <w:rFonts w:ascii="Trebuchet MS" w:hAnsi="Trebuchet MS"/>
        </w:rPr>
        <w:t xml:space="preserve"> before it is used. It must remain workable but at the same time provide good stability when it is laid. </w:t>
      </w:r>
    </w:p>
    <w:p w14:paraId="017FF0D3" w14:textId="77777777" w:rsidR="0084124D" w:rsidRPr="00E3097E" w:rsidRDefault="0084124D" w:rsidP="00320DB4">
      <w:pPr>
        <w:jc w:val="both"/>
        <w:rPr>
          <w:rFonts w:ascii="Trebuchet MS" w:hAnsi="Trebuchet MS"/>
        </w:rPr>
      </w:pPr>
      <w:r w:rsidRPr="00E3097E">
        <w:rPr>
          <w:rFonts w:ascii="Trebuchet MS" w:hAnsi="Trebuchet MS"/>
        </w:rPr>
        <w:t xml:space="preserve">The disadvantages of this method are: - </w:t>
      </w:r>
    </w:p>
    <w:p w14:paraId="3D183EE6" w14:textId="2F2790E4" w:rsidR="0084124D" w:rsidRPr="00E3097E" w:rsidRDefault="0084124D" w:rsidP="00320DB4">
      <w:pPr>
        <w:pStyle w:val="ListParagraph"/>
        <w:numPr>
          <w:ilvl w:val="0"/>
          <w:numId w:val="2"/>
        </w:numPr>
        <w:jc w:val="both"/>
        <w:rPr>
          <w:rFonts w:ascii="Trebuchet MS" w:hAnsi="Trebuchet MS"/>
        </w:rPr>
      </w:pPr>
      <w:r w:rsidRPr="00E3097E">
        <w:rPr>
          <w:rFonts w:ascii="Trebuchet MS" w:hAnsi="Trebuchet MS"/>
        </w:rPr>
        <w:t xml:space="preserve">The aggregate </w:t>
      </w:r>
      <w:proofErr w:type="gramStart"/>
      <w:r w:rsidRPr="00E3097E">
        <w:rPr>
          <w:rFonts w:ascii="Trebuchet MS" w:hAnsi="Trebuchet MS"/>
        </w:rPr>
        <w:t>has to</w:t>
      </w:r>
      <w:proofErr w:type="gramEnd"/>
      <w:r w:rsidRPr="00E3097E">
        <w:rPr>
          <w:rFonts w:ascii="Trebuchet MS" w:hAnsi="Trebuchet MS"/>
        </w:rPr>
        <w:t xml:space="preserve"> be heated to a high temperature, to ensure that it is properly coated with bitumen. </w:t>
      </w:r>
    </w:p>
    <w:p w14:paraId="24DAB08F" w14:textId="3517BB2C" w:rsidR="0084124D" w:rsidRPr="00E3097E" w:rsidRDefault="0084124D" w:rsidP="00320DB4">
      <w:pPr>
        <w:pStyle w:val="ListParagraph"/>
        <w:numPr>
          <w:ilvl w:val="0"/>
          <w:numId w:val="2"/>
        </w:numPr>
        <w:jc w:val="both"/>
        <w:rPr>
          <w:rFonts w:ascii="Trebuchet MS" w:hAnsi="Trebuchet MS"/>
        </w:rPr>
      </w:pPr>
      <w:r w:rsidRPr="00E3097E">
        <w:rPr>
          <w:rFonts w:ascii="Trebuchet MS" w:hAnsi="Trebuchet MS"/>
        </w:rPr>
        <w:t xml:space="preserve">The elevated temperature increases the risk of a fire at the mixing </w:t>
      </w:r>
      <w:r w:rsidR="00E75D97" w:rsidRPr="00E3097E">
        <w:rPr>
          <w:rFonts w:ascii="Trebuchet MS" w:hAnsi="Trebuchet MS"/>
        </w:rPr>
        <w:t>plant because</w:t>
      </w:r>
      <w:r w:rsidRPr="00E3097E">
        <w:rPr>
          <w:rFonts w:ascii="Trebuchet MS" w:hAnsi="Trebuchet MS"/>
        </w:rPr>
        <w:t xml:space="preserve"> the flux oils have a relatively low flash point.</w:t>
      </w:r>
    </w:p>
    <w:p w14:paraId="64E5029B" w14:textId="00940123" w:rsidR="0084124D" w:rsidRPr="00E3097E" w:rsidRDefault="0084124D" w:rsidP="00320DB4">
      <w:pPr>
        <w:pStyle w:val="ListParagraph"/>
        <w:numPr>
          <w:ilvl w:val="0"/>
          <w:numId w:val="2"/>
        </w:numPr>
        <w:jc w:val="both"/>
        <w:rPr>
          <w:rFonts w:ascii="Trebuchet MS" w:hAnsi="Trebuchet MS"/>
        </w:rPr>
      </w:pPr>
      <w:r w:rsidRPr="00E3097E">
        <w:rPr>
          <w:rFonts w:ascii="Trebuchet MS" w:hAnsi="Trebuchet MS"/>
        </w:rPr>
        <w:t xml:space="preserve">Volatile oils are lost from the flux giving rise to unpredictable workability. </w:t>
      </w:r>
    </w:p>
    <w:p w14:paraId="1C6E0276" w14:textId="77777777" w:rsidR="0084124D" w:rsidRPr="00E3097E" w:rsidRDefault="0084124D" w:rsidP="00E3097E">
      <w:pPr>
        <w:rPr>
          <w:rFonts w:ascii="Trebuchet MS" w:hAnsi="Trebuchet MS"/>
        </w:rPr>
      </w:pPr>
    </w:p>
    <w:p w14:paraId="6C6218A2" w14:textId="77777777" w:rsidR="00B329EF" w:rsidRPr="00B329EF" w:rsidRDefault="0084124D" w:rsidP="00B329EF">
      <w:pPr>
        <w:jc w:val="both"/>
        <w:rPr>
          <w:rFonts w:ascii="Trebuchet MS" w:hAnsi="Trebuchet MS"/>
          <w:b/>
          <w:bCs/>
        </w:rPr>
      </w:pPr>
      <w:r w:rsidRPr="00B329EF">
        <w:rPr>
          <w:rFonts w:ascii="Trebuchet MS" w:hAnsi="Trebuchet MS"/>
          <w:b/>
          <w:bCs/>
        </w:rPr>
        <w:t xml:space="preserve">2. The Emulsion Approach </w:t>
      </w:r>
    </w:p>
    <w:p w14:paraId="11EDE643" w14:textId="7F90ADA2" w:rsidR="0084124D" w:rsidRPr="00E3097E" w:rsidRDefault="0084124D" w:rsidP="00320DB4">
      <w:pPr>
        <w:jc w:val="both"/>
        <w:rPr>
          <w:rFonts w:ascii="Trebuchet MS" w:hAnsi="Trebuchet MS"/>
        </w:rPr>
      </w:pPr>
      <w:r w:rsidRPr="00E3097E">
        <w:rPr>
          <w:rFonts w:ascii="Trebuchet MS" w:hAnsi="Trebuchet MS"/>
        </w:rPr>
        <w:t xml:space="preserve">The development of coating grade emulsions in recent years has overcome these disadvantages and given additional benefits that </w:t>
      </w:r>
      <w:proofErr w:type="gramStart"/>
      <w:r w:rsidRPr="00E3097E">
        <w:rPr>
          <w:rFonts w:ascii="Trebuchet MS" w:hAnsi="Trebuchet MS"/>
        </w:rPr>
        <w:t>include:-</w:t>
      </w:r>
      <w:proofErr w:type="gramEnd"/>
      <w:r w:rsidRPr="00E3097E">
        <w:rPr>
          <w:rFonts w:ascii="Trebuchet MS" w:hAnsi="Trebuchet MS"/>
        </w:rPr>
        <w:t xml:space="preserve"> </w:t>
      </w:r>
    </w:p>
    <w:p w14:paraId="554389AF" w14:textId="77777777" w:rsidR="0084124D" w:rsidRPr="00E3097E" w:rsidRDefault="0084124D" w:rsidP="00320DB4">
      <w:pPr>
        <w:pStyle w:val="ListParagraph"/>
        <w:numPr>
          <w:ilvl w:val="0"/>
          <w:numId w:val="4"/>
        </w:numPr>
        <w:jc w:val="both"/>
        <w:rPr>
          <w:rFonts w:ascii="Trebuchet MS" w:hAnsi="Trebuchet MS"/>
        </w:rPr>
      </w:pPr>
      <w:r w:rsidRPr="00E3097E">
        <w:rPr>
          <w:rFonts w:ascii="Trebuchet MS" w:hAnsi="Trebuchet MS"/>
        </w:rPr>
        <w:t xml:space="preserve">Emulsions may be used at ambient and warm temperatures with aggregates that may not be completely dry. </w:t>
      </w:r>
    </w:p>
    <w:p w14:paraId="295E9DB2" w14:textId="1EC3DA82" w:rsidR="0084124D" w:rsidRPr="00E3097E" w:rsidRDefault="0084124D" w:rsidP="00320DB4">
      <w:pPr>
        <w:pStyle w:val="ListParagraph"/>
        <w:numPr>
          <w:ilvl w:val="0"/>
          <w:numId w:val="4"/>
        </w:numPr>
        <w:jc w:val="both"/>
        <w:rPr>
          <w:rFonts w:ascii="Trebuchet MS" w:hAnsi="Trebuchet MS"/>
        </w:rPr>
      </w:pPr>
      <w:r w:rsidRPr="00E3097E">
        <w:rPr>
          <w:rFonts w:ascii="Trebuchet MS" w:hAnsi="Trebuchet MS"/>
        </w:rPr>
        <w:t>Lower temperatures reduce the amount (and cost) of fuel used to dry the aggregate</w:t>
      </w:r>
      <w:r w:rsidR="00556553">
        <w:rPr>
          <w:rFonts w:ascii="Trebuchet MS" w:hAnsi="Trebuchet MS"/>
        </w:rPr>
        <w:t>, reducing greenhouse gas emissions.</w:t>
      </w:r>
    </w:p>
    <w:p w14:paraId="43BE77BA" w14:textId="082D6368" w:rsidR="0084124D" w:rsidRPr="00E3097E" w:rsidRDefault="0084124D" w:rsidP="00320DB4">
      <w:pPr>
        <w:pStyle w:val="ListParagraph"/>
        <w:numPr>
          <w:ilvl w:val="0"/>
          <w:numId w:val="4"/>
        </w:numPr>
        <w:jc w:val="both"/>
        <w:rPr>
          <w:rFonts w:ascii="Trebuchet MS" w:hAnsi="Trebuchet MS"/>
        </w:rPr>
      </w:pPr>
      <w:r w:rsidRPr="00E3097E">
        <w:rPr>
          <w:rFonts w:ascii="Trebuchet MS" w:hAnsi="Trebuchet MS"/>
        </w:rPr>
        <w:t xml:space="preserve">Operating at lower temperatures when coating with emulsion gives a greater margin of safety, even though the emulsion may contain a small proportion of flux oils. </w:t>
      </w:r>
    </w:p>
    <w:p w14:paraId="1BE99023" w14:textId="77777777" w:rsidR="0084124D" w:rsidRPr="00E3097E" w:rsidRDefault="0084124D" w:rsidP="00320DB4">
      <w:pPr>
        <w:pStyle w:val="ListParagraph"/>
        <w:numPr>
          <w:ilvl w:val="0"/>
          <w:numId w:val="4"/>
        </w:numPr>
        <w:jc w:val="both"/>
        <w:rPr>
          <w:rFonts w:ascii="Trebuchet MS" w:hAnsi="Trebuchet MS"/>
        </w:rPr>
      </w:pPr>
      <w:r w:rsidRPr="00E3097E">
        <w:rPr>
          <w:rFonts w:ascii="Trebuchet MS" w:hAnsi="Trebuchet MS"/>
        </w:rPr>
        <w:t xml:space="preserve">Emulsion coated mixtures can be stockpiled for long periods. They may also be packaged into small containers for convenient storage and transport. This allows small areas to be treated quickly, cleanly and economically. </w:t>
      </w:r>
    </w:p>
    <w:p w14:paraId="4B105DDB" w14:textId="0737D048" w:rsidR="0084124D" w:rsidRPr="00E3097E" w:rsidRDefault="008F54D7" w:rsidP="00320DB4">
      <w:pPr>
        <w:ind w:left="360"/>
        <w:jc w:val="both"/>
        <w:rPr>
          <w:rFonts w:ascii="Trebuchet MS" w:hAnsi="Trebuchet MS"/>
        </w:rPr>
      </w:pPr>
      <w:r>
        <w:rPr>
          <w:rFonts w:ascii="Trebuchet MS" w:hAnsi="Trebuchet MS"/>
        </w:rPr>
        <w:t xml:space="preserve">The now withdrawn standard </w:t>
      </w:r>
      <w:r w:rsidR="0084124D" w:rsidRPr="00E3097E">
        <w:rPr>
          <w:rFonts w:ascii="Trebuchet MS" w:hAnsi="Trebuchet MS"/>
        </w:rPr>
        <w:t>BS 434</w:t>
      </w:r>
      <w:r w:rsidR="00681D9D">
        <w:rPr>
          <w:rFonts w:ascii="Trebuchet MS" w:hAnsi="Trebuchet MS"/>
        </w:rPr>
        <w:t>-</w:t>
      </w:r>
      <w:r w:rsidR="0084124D" w:rsidRPr="00E3097E">
        <w:rPr>
          <w:rFonts w:ascii="Trebuchet MS" w:hAnsi="Trebuchet MS"/>
        </w:rPr>
        <w:t>2 [1] partly define</w:t>
      </w:r>
      <w:r>
        <w:rPr>
          <w:rFonts w:ascii="Trebuchet MS" w:hAnsi="Trebuchet MS"/>
        </w:rPr>
        <w:t>d</w:t>
      </w:r>
      <w:r w:rsidR="0084124D" w:rsidRPr="00E3097E">
        <w:rPr>
          <w:rFonts w:ascii="Trebuchet MS" w:hAnsi="Trebuchet MS"/>
        </w:rPr>
        <w:t xml:space="preserve"> two techniques for using bitumen emulsion to produce storage grade bituminous mixtures. The first method produces a mixture in a single operation. The second lightly coats some of the aggregate constituents separately and then mixes them together with the emulsion. </w:t>
      </w:r>
    </w:p>
    <w:p w14:paraId="7EC5B66E" w14:textId="7A7FEE3F" w:rsidR="0084124D" w:rsidRPr="00E3097E" w:rsidRDefault="0084124D" w:rsidP="00320DB4">
      <w:pPr>
        <w:ind w:left="360"/>
        <w:jc w:val="both"/>
        <w:rPr>
          <w:rFonts w:ascii="Trebuchet MS" w:hAnsi="Trebuchet MS"/>
        </w:rPr>
      </w:pPr>
      <w:r w:rsidRPr="00E3097E">
        <w:rPr>
          <w:rFonts w:ascii="Trebuchet MS" w:hAnsi="Trebuchet MS"/>
        </w:rPr>
        <w:t xml:space="preserve">It is not possible to lay down hard and fast rules as to the method of manufacture or the choice and quantity of emulsion. Consideration </w:t>
      </w:r>
      <w:proofErr w:type="gramStart"/>
      <w:r w:rsidRPr="00E3097E">
        <w:rPr>
          <w:rFonts w:ascii="Trebuchet MS" w:hAnsi="Trebuchet MS"/>
        </w:rPr>
        <w:t>has to</w:t>
      </w:r>
      <w:proofErr w:type="gramEnd"/>
      <w:r w:rsidRPr="00E3097E">
        <w:rPr>
          <w:rFonts w:ascii="Trebuchet MS" w:hAnsi="Trebuchet MS"/>
        </w:rPr>
        <w:t xml:space="preserve"> be given to the chemical nature of the aggregate, the target grading of the mixture and the type of mixing plant. These factors can only be assessed in consultation with the emulsion supplier. Laboratory mixture design using representative samples of the aggregates are usually required</w:t>
      </w:r>
      <w:r w:rsidR="00B329EF">
        <w:rPr>
          <w:rFonts w:ascii="Trebuchet MS" w:hAnsi="Trebuchet MS"/>
        </w:rPr>
        <w:t>.</w:t>
      </w:r>
    </w:p>
    <w:p w14:paraId="5E008DBA" w14:textId="77777777" w:rsidR="0084124D" w:rsidRPr="00E3097E" w:rsidRDefault="0084124D" w:rsidP="00E3097E">
      <w:pPr>
        <w:rPr>
          <w:rFonts w:ascii="Trebuchet MS" w:hAnsi="Trebuchet MS"/>
        </w:rPr>
      </w:pPr>
    </w:p>
    <w:p w14:paraId="217A3B9C" w14:textId="77777777" w:rsidR="0084124D" w:rsidRPr="00E3097E" w:rsidRDefault="0084124D" w:rsidP="00A9758D">
      <w:pPr>
        <w:jc w:val="both"/>
        <w:rPr>
          <w:rFonts w:ascii="Trebuchet MS" w:hAnsi="Trebuchet MS"/>
          <w:b/>
          <w:bCs/>
        </w:rPr>
      </w:pPr>
      <w:r w:rsidRPr="00E3097E">
        <w:rPr>
          <w:rFonts w:ascii="Trebuchet MS" w:hAnsi="Trebuchet MS"/>
          <w:b/>
          <w:bCs/>
        </w:rPr>
        <w:lastRenderedPageBreak/>
        <w:t xml:space="preserve">3.The Process </w:t>
      </w:r>
    </w:p>
    <w:p w14:paraId="00A38F87" w14:textId="77777777" w:rsidR="00E3097E" w:rsidRPr="00E3097E" w:rsidRDefault="0084124D" w:rsidP="00A9758D">
      <w:pPr>
        <w:jc w:val="both"/>
        <w:rPr>
          <w:rFonts w:ascii="Trebuchet MS" w:hAnsi="Trebuchet MS"/>
          <w:b/>
          <w:bCs/>
        </w:rPr>
      </w:pPr>
      <w:r w:rsidRPr="00E3097E">
        <w:rPr>
          <w:rFonts w:ascii="Trebuchet MS" w:hAnsi="Trebuchet MS"/>
          <w:b/>
          <w:bCs/>
        </w:rPr>
        <w:t xml:space="preserve">3.1 Emulsion </w:t>
      </w:r>
    </w:p>
    <w:p w14:paraId="19A6F6C7" w14:textId="16D83CDC" w:rsidR="0084124D" w:rsidRPr="00E3097E" w:rsidRDefault="0084124D" w:rsidP="00A9758D">
      <w:pPr>
        <w:jc w:val="both"/>
        <w:rPr>
          <w:rFonts w:ascii="Trebuchet MS" w:hAnsi="Trebuchet MS"/>
        </w:rPr>
      </w:pPr>
      <w:r w:rsidRPr="00E3097E">
        <w:rPr>
          <w:rFonts w:ascii="Trebuchet MS" w:hAnsi="Trebuchet MS"/>
        </w:rPr>
        <w:t>The choice of emulsion will depend on the chemical nature of the aggregate, the target grading of the mixture and the intended use. The choice of emulsion type and grade should be made in consultation with the emulsion supplier. The emulsion formulation may have to be adjusted to suit the characteristics of the aggregate.</w:t>
      </w:r>
    </w:p>
    <w:p w14:paraId="3CFB5820" w14:textId="77777777" w:rsidR="0084124D" w:rsidRPr="00E3097E" w:rsidRDefault="0084124D" w:rsidP="00A9758D">
      <w:pPr>
        <w:jc w:val="both"/>
        <w:rPr>
          <w:rFonts w:ascii="Trebuchet MS" w:hAnsi="Trebuchet MS"/>
          <w:b/>
          <w:bCs/>
        </w:rPr>
      </w:pPr>
      <w:r w:rsidRPr="00E3097E">
        <w:rPr>
          <w:rFonts w:ascii="Trebuchet MS" w:hAnsi="Trebuchet MS"/>
          <w:b/>
          <w:bCs/>
        </w:rPr>
        <w:t xml:space="preserve">3.2 Aggregate </w:t>
      </w:r>
    </w:p>
    <w:p w14:paraId="2625291F" w14:textId="77777777" w:rsidR="0084124D" w:rsidRPr="00E3097E" w:rsidRDefault="0084124D" w:rsidP="00A9758D">
      <w:pPr>
        <w:jc w:val="both"/>
        <w:rPr>
          <w:rFonts w:ascii="Trebuchet MS" w:hAnsi="Trebuchet MS"/>
        </w:rPr>
      </w:pPr>
      <w:r w:rsidRPr="00E3097E">
        <w:rPr>
          <w:rFonts w:ascii="Trebuchet MS" w:hAnsi="Trebuchet MS"/>
        </w:rPr>
        <w:t xml:space="preserve">Whilst most aggregates that are currently used in hot bituminous mixtures are suitable for use with emulsions, some may not be. Aggregates need not be completely dry but excess moisture and fines may prevent coating and cause stripping. </w:t>
      </w:r>
    </w:p>
    <w:p w14:paraId="02592F64" w14:textId="77777777" w:rsidR="0084124D" w:rsidRPr="00E3097E" w:rsidRDefault="0084124D" w:rsidP="00A9758D">
      <w:pPr>
        <w:jc w:val="both"/>
        <w:rPr>
          <w:rFonts w:ascii="Trebuchet MS" w:hAnsi="Trebuchet MS"/>
        </w:rPr>
      </w:pPr>
      <w:r w:rsidRPr="00E3097E">
        <w:rPr>
          <w:rFonts w:ascii="Trebuchet MS" w:hAnsi="Trebuchet MS"/>
        </w:rPr>
        <w:t xml:space="preserve">It is not usually necessary to add water, but some highly acidic or alkaline aggregates benefit from pre-wetting. </w:t>
      </w:r>
    </w:p>
    <w:p w14:paraId="2D12E1AA" w14:textId="77777777" w:rsidR="0084124D" w:rsidRPr="00E3097E" w:rsidRDefault="0084124D" w:rsidP="00A9758D">
      <w:pPr>
        <w:jc w:val="both"/>
        <w:rPr>
          <w:rFonts w:ascii="Trebuchet MS" w:hAnsi="Trebuchet MS"/>
          <w:b/>
          <w:bCs/>
        </w:rPr>
      </w:pPr>
      <w:r w:rsidRPr="00E3097E">
        <w:rPr>
          <w:rFonts w:ascii="Trebuchet MS" w:hAnsi="Trebuchet MS"/>
          <w:b/>
          <w:bCs/>
        </w:rPr>
        <w:t xml:space="preserve">3.3 Mixing </w:t>
      </w:r>
    </w:p>
    <w:p w14:paraId="5874903B" w14:textId="3960E384" w:rsidR="0084124D" w:rsidRPr="00E3097E" w:rsidRDefault="0084124D" w:rsidP="00A9758D">
      <w:pPr>
        <w:jc w:val="both"/>
        <w:rPr>
          <w:rFonts w:ascii="Trebuchet MS" w:hAnsi="Trebuchet MS"/>
        </w:rPr>
      </w:pPr>
      <w:r w:rsidRPr="00E3097E">
        <w:rPr>
          <w:rFonts w:ascii="Trebuchet MS" w:hAnsi="Trebuchet MS"/>
        </w:rPr>
        <w:t xml:space="preserve">Mixtures can be produced in most types and sizes of mixer. The mixing times should be kept to the minimum required to achieve full coating. Excessive mixing can lead to the stripping of the binder from the stone. </w:t>
      </w:r>
    </w:p>
    <w:p w14:paraId="1E4432E3" w14:textId="77777777" w:rsidR="0084124D" w:rsidRPr="00E3097E" w:rsidRDefault="0084124D" w:rsidP="00A9758D">
      <w:pPr>
        <w:jc w:val="both"/>
        <w:rPr>
          <w:rFonts w:ascii="Trebuchet MS" w:hAnsi="Trebuchet MS"/>
          <w:b/>
          <w:bCs/>
        </w:rPr>
      </w:pPr>
      <w:r w:rsidRPr="00E3097E">
        <w:rPr>
          <w:rFonts w:ascii="Trebuchet MS" w:hAnsi="Trebuchet MS"/>
          <w:b/>
          <w:bCs/>
        </w:rPr>
        <w:t xml:space="preserve">3.4 Specifications – grading and binder content </w:t>
      </w:r>
    </w:p>
    <w:p w14:paraId="7E040EBE" w14:textId="77777777" w:rsidR="0084124D" w:rsidRPr="00E3097E" w:rsidRDefault="0084124D" w:rsidP="00A9758D">
      <w:pPr>
        <w:jc w:val="both"/>
        <w:rPr>
          <w:rFonts w:ascii="Trebuchet MS" w:hAnsi="Trebuchet MS"/>
        </w:rPr>
      </w:pPr>
      <w:r w:rsidRPr="00E3097E">
        <w:rPr>
          <w:rFonts w:ascii="Trebuchet MS" w:hAnsi="Trebuchet MS"/>
        </w:rPr>
        <w:t xml:space="preserve">It is very important that specifications are agreed with the emulsion supplier and reflect the characteristics of the aggregate. </w:t>
      </w:r>
    </w:p>
    <w:p w14:paraId="012606E4" w14:textId="42575C20" w:rsidR="0084124D" w:rsidRPr="00E3097E" w:rsidRDefault="0084124D" w:rsidP="00A9758D">
      <w:pPr>
        <w:jc w:val="both"/>
        <w:rPr>
          <w:rFonts w:ascii="Trebuchet MS" w:hAnsi="Trebuchet MS"/>
        </w:rPr>
      </w:pPr>
      <w:r w:rsidRPr="00E3097E">
        <w:rPr>
          <w:rFonts w:ascii="Trebuchet MS" w:hAnsi="Trebuchet MS"/>
        </w:rPr>
        <w:t>Most storage grade bituminous mixtures use a grading that is based on the routinely used asphalt concrete mixtures in BS EN 13108</w:t>
      </w:r>
      <w:r w:rsidR="00681D9D">
        <w:rPr>
          <w:rFonts w:ascii="Trebuchet MS" w:hAnsi="Trebuchet MS"/>
        </w:rPr>
        <w:t>-1</w:t>
      </w:r>
      <w:r w:rsidRPr="00E3097E">
        <w:rPr>
          <w:rFonts w:ascii="Trebuchet MS" w:hAnsi="Trebuchet MS"/>
        </w:rPr>
        <w:t xml:space="preserve"> [2]. Typical mixtures are an AC 20 dense binder course and an AC 6 medium or dense surface course. AC 20 open binder course is often supplied in bags and tubs. </w:t>
      </w:r>
      <w:proofErr w:type="gramStart"/>
      <w:r w:rsidRPr="00E3097E">
        <w:rPr>
          <w:rFonts w:ascii="Trebuchet MS" w:hAnsi="Trebuchet MS"/>
        </w:rPr>
        <w:t>A number of</w:t>
      </w:r>
      <w:proofErr w:type="gramEnd"/>
      <w:r w:rsidRPr="00E3097E">
        <w:rPr>
          <w:rFonts w:ascii="Trebuchet MS" w:hAnsi="Trebuchet MS"/>
        </w:rPr>
        <w:t xml:space="preserve"> storage grade mixtures based on a stone mastic asphalt (SMA) type grading have also been successfully produced. </w:t>
      </w:r>
    </w:p>
    <w:p w14:paraId="2DE509CF" w14:textId="77777777" w:rsidR="0084124D" w:rsidRPr="00E3097E" w:rsidRDefault="0084124D" w:rsidP="00A9758D">
      <w:pPr>
        <w:jc w:val="both"/>
        <w:rPr>
          <w:rFonts w:ascii="Trebuchet MS" w:hAnsi="Trebuchet MS"/>
          <w:b/>
          <w:bCs/>
        </w:rPr>
      </w:pPr>
      <w:r w:rsidRPr="00E3097E">
        <w:rPr>
          <w:rFonts w:ascii="Trebuchet MS" w:hAnsi="Trebuchet MS"/>
          <w:b/>
          <w:bCs/>
        </w:rPr>
        <w:t xml:space="preserve">3.5 Laying </w:t>
      </w:r>
    </w:p>
    <w:p w14:paraId="52E7F872" w14:textId="77777777" w:rsidR="0084124D" w:rsidRPr="00E3097E" w:rsidRDefault="0084124D" w:rsidP="00A9758D">
      <w:pPr>
        <w:jc w:val="both"/>
        <w:rPr>
          <w:rFonts w:ascii="Trebuchet MS" w:hAnsi="Trebuchet MS"/>
        </w:rPr>
      </w:pPr>
      <w:r w:rsidRPr="00E3097E">
        <w:rPr>
          <w:rFonts w:ascii="Trebuchet MS" w:hAnsi="Trebuchet MS"/>
        </w:rPr>
        <w:t xml:space="preserve">Storage grade bituminous mixtures should be laid and compacted in accordance with BS 594987 [3]. Good joint preparation and effective use of the correct compaction plant will ensure good performance. </w:t>
      </w:r>
    </w:p>
    <w:p w14:paraId="480361C9" w14:textId="77777777" w:rsidR="0084124D" w:rsidRPr="00E3097E" w:rsidRDefault="0084124D" w:rsidP="00A9758D">
      <w:pPr>
        <w:jc w:val="both"/>
        <w:rPr>
          <w:rFonts w:ascii="Trebuchet MS" w:hAnsi="Trebuchet MS"/>
        </w:rPr>
      </w:pPr>
    </w:p>
    <w:p w14:paraId="441FFC1C" w14:textId="77777777" w:rsidR="0084124D" w:rsidRPr="00E3097E" w:rsidRDefault="0084124D" w:rsidP="00A9758D">
      <w:pPr>
        <w:jc w:val="both"/>
        <w:rPr>
          <w:rFonts w:ascii="Trebuchet MS" w:hAnsi="Trebuchet MS"/>
          <w:b/>
          <w:bCs/>
        </w:rPr>
      </w:pPr>
      <w:r w:rsidRPr="00E3097E">
        <w:rPr>
          <w:rFonts w:ascii="Trebuchet MS" w:hAnsi="Trebuchet MS"/>
          <w:b/>
          <w:bCs/>
        </w:rPr>
        <w:t xml:space="preserve">4. Summary </w:t>
      </w:r>
    </w:p>
    <w:p w14:paraId="15F03F9C" w14:textId="77777777" w:rsidR="0084124D" w:rsidRDefault="0084124D" w:rsidP="00A9758D">
      <w:pPr>
        <w:jc w:val="both"/>
        <w:rPr>
          <w:rFonts w:ascii="Trebuchet MS" w:hAnsi="Trebuchet MS"/>
        </w:rPr>
      </w:pPr>
      <w:r w:rsidRPr="00E3097E">
        <w:rPr>
          <w:rFonts w:ascii="Trebuchet MS" w:hAnsi="Trebuchet MS"/>
        </w:rPr>
        <w:t xml:space="preserve">The production of storage grade bituminous mixtures using bitumen emulsion is a proven, safe, and </w:t>
      </w:r>
      <w:proofErr w:type="gramStart"/>
      <w:r w:rsidRPr="00E3097E">
        <w:rPr>
          <w:rFonts w:ascii="Trebuchet MS" w:hAnsi="Trebuchet MS"/>
        </w:rPr>
        <w:t>cost effective</w:t>
      </w:r>
      <w:proofErr w:type="gramEnd"/>
      <w:r w:rsidRPr="00E3097E">
        <w:rPr>
          <w:rFonts w:ascii="Trebuchet MS" w:hAnsi="Trebuchet MS"/>
        </w:rPr>
        <w:t xml:space="preserve"> process. Bitumen emulsions can be used to manufacture most asphalt concrete mixtures, either for immediate use or for storage in a way that meets a range of customer requirements. Close consultation with the emulsion manufacturer can ensure that the mixture is well coated, has the expected grading and can be successfully manufactured. </w:t>
      </w:r>
    </w:p>
    <w:p w14:paraId="783238EF" w14:textId="77777777" w:rsidR="008F54D7" w:rsidRPr="00E3097E" w:rsidRDefault="008F54D7" w:rsidP="00A9758D">
      <w:pPr>
        <w:jc w:val="both"/>
        <w:rPr>
          <w:rFonts w:ascii="Trebuchet MS" w:hAnsi="Trebuchet MS"/>
        </w:rPr>
      </w:pPr>
    </w:p>
    <w:p w14:paraId="3E73711F" w14:textId="77777777" w:rsidR="008F54D7" w:rsidRDefault="008F54D7">
      <w:pPr>
        <w:rPr>
          <w:rFonts w:ascii="Trebuchet MS" w:hAnsi="Trebuchet MS"/>
        </w:rPr>
      </w:pPr>
      <w:r>
        <w:rPr>
          <w:rFonts w:ascii="Trebuchet MS" w:hAnsi="Trebuchet MS"/>
        </w:rPr>
        <w:br w:type="page"/>
      </w:r>
    </w:p>
    <w:p w14:paraId="7BD7049E" w14:textId="6DC7831B" w:rsidR="0084124D" w:rsidRDefault="008F54D7" w:rsidP="00A9758D">
      <w:pPr>
        <w:spacing w:after="240"/>
        <w:contextualSpacing/>
        <w:jc w:val="both"/>
        <w:rPr>
          <w:rFonts w:ascii="Trebuchet MS" w:hAnsi="Trebuchet MS" w:cs="Arial"/>
          <w:b/>
        </w:rPr>
      </w:pPr>
      <w:r>
        <w:rPr>
          <w:rFonts w:ascii="Trebuchet MS" w:hAnsi="Trebuchet MS"/>
        </w:rPr>
        <w:lastRenderedPageBreak/>
        <w:t>5</w:t>
      </w:r>
      <w:r w:rsidR="0084124D" w:rsidRPr="00E3097E">
        <w:rPr>
          <w:rFonts w:ascii="Trebuchet MS" w:hAnsi="Trebuchet MS"/>
        </w:rPr>
        <w:t xml:space="preserve">. </w:t>
      </w:r>
      <w:r w:rsidR="0084124D" w:rsidRPr="00E3097E">
        <w:rPr>
          <w:rFonts w:ascii="Trebuchet MS" w:hAnsi="Trebuchet MS" w:cs="Arial"/>
          <w:b/>
        </w:rPr>
        <w:t xml:space="preserve">UKCA/CE Marking </w:t>
      </w:r>
    </w:p>
    <w:p w14:paraId="32551C8F" w14:textId="77777777" w:rsidR="008F54D7" w:rsidRPr="00E3097E" w:rsidRDefault="008F54D7" w:rsidP="00A9758D">
      <w:pPr>
        <w:spacing w:after="240"/>
        <w:contextualSpacing/>
        <w:jc w:val="both"/>
        <w:rPr>
          <w:rFonts w:ascii="Trebuchet MS" w:hAnsi="Trebuchet MS" w:cs="Arial"/>
          <w:b/>
        </w:rPr>
      </w:pPr>
    </w:p>
    <w:p w14:paraId="671D03D6" w14:textId="033E0339" w:rsidR="008F54D7" w:rsidRDefault="008F54D7" w:rsidP="008F54D7">
      <w:pPr>
        <w:jc w:val="both"/>
        <w:rPr>
          <w:rFonts w:ascii="Trebuchet MS" w:hAnsi="Trebuchet MS"/>
        </w:rPr>
      </w:pPr>
      <w:r w:rsidRPr="006E3838">
        <w:rPr>
          <w:rFonts w:ascii="Trebuchet MS" w:hAnsi="Trebuchet MS"/>
        </w:rPr>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6E3838">
        <w:rPr>
          <w:rFonts w:ascii="Trebuchet MS" w:hAnsi="Trebuchet MS"/>
        </w:rPr>
        <w:t>in order to</w:t>
      </w:r>
      <w:proofErr w:type="gramEnd"/>
      <w:r w:rsidRPr="006E3838">
        <w:rPr>
          <w:rFonts w:ascii="Trebuchet MS" w:hAnsi="Trebuchet MS"/>
        </w:rPr>
        <w:t xml:space="preserve"> place them on the European market. The UK withdrew from the European Union in January 2020 and in January 2021 introduced its own UKCA mark</w:t>
      </w:r>
      <w:r>
        <w:rPr>
          <w:rFonts w:ascii="Trebuchet MS" w:hAnsi="Trebuchet MS"/>
        </w:rPr>
        <w:t xml:space="preserve">. A </w:t>
      </w:r>
      <w:r w:rsidRPr="006E3838">
        <w:rPr>
          <w:rFonts w:ascii="Trebuchet MS" w:hAnsi="Trebuchet MS"/>
        </w:rPr>
        <w:t xml:space="preserve">transition period for implementation of the UKCA mark </w:t>
      </w:r>
      <w:r>
        <w:rPr>
          <w:rFonts w:ascii="Trebuchet MS" w:hAnsi="Trebuchet MS"/>
        </w:rPr>
        <w:t>w</w:t>
      </w:r>
      <w:r w:rsidRPr="006E3838">
        <w:rPr>
          <w:rFonts w:ascii="Trebuchet MS" w:hAnsi="Trebuchet MS"/>
        </w:rPr>
        <w:t xml:space="preserve">as introduced </w:t>
      </w:r>
      <w:r>
        <w:rPr>
          <w:rFonts w:ascii="Trebuchet MS" w:hAnsi="Trebuchet MS"/>
        </w:rPr>
        <w:t>but this period has been extended indefinitely meaning that both CE and UKCA Marking can continue to be used.</w:t>
      </w:r>
    </w:p>
    <w:p w14:paraId="063E4A5F" w14:textId="77777777" w:rsidR="0084124D" w:rsidRPr="00E3097E" w:rsidRDefault="0084124D" w:rsidP="00A9758D">
      <w:pPr>
        <w:jc w:val="both"/>
        <w:rPr>
          <w:rFonts w:ascii="Trebuchet MS" w:hAnsi="Trebuchet MS"/>
        </w:rPr>
      </w:pPr>
    </w:p>
    <w:p w14:paraId="34FB6532" w14:textId="77777777" w:rsidR="0084124D" w:rsidRPr="00E3097E" w:rsidRDefault="0084124D" w:rsidP="00A9758D">
      <w:pPr>
        <w:jc w:val="both"/>
        <w:rPr>
          <w:rFonts w:ascii="Trebuchet MS" w:hAnsi="Trebuchet MS"/>
          <w:b/>
          <w:bCs/>
          <w:i/>
          <w:iCs/>
        </w:rPr>
      </w:pPr>
      <w:r w:rsidRPr="00E3097E">
        <w:rPr>
          <w:rFonts w:ascii="Trebuchet MS" w:hAnsi="Trebuchet MS"/>
          <w:b/>
          <w:bCs/>
          <w:i/>
          <w:iCs/>
        </w:rPr>
        <w:t xml:space="preserve">References </w:t>
      </w:r>
    </w:p>
    <w:p w14:paraId="4A0EBB04" w14:textId="5656DA6D" w:rsidR="0084124D" w:rsidRPr="00E3097E" w:rsidRDefault="0084124D" w:rsidP="00A9758D">
      <w:pPr>
        <w:jc w:val="both"/>
        <w:rPr>
          <w:rFonts w:ascii="Trebuchet MS" w:hAnsi="Trebuchet MS"/>
        </w:rPr>
      </w:pPr>
      <w:r w:rsidRPr="00E3097E">
        <w:rPr>
          <w:rFonts w:ascii="Trebuchet MS" w:hAnsi="Trebuchet MS"/>
        </w:rPr>
        <w:t xml:space="preserve">[1] BS 434-2:2006 </w:t>
      </w:r>
      <w:proofErr w:type="gramStart"/>
      <w:r w:rsidRPr="00E3097E">
        <w:rPr>
          <w:rFonts w:ascii="Trebuchet MS" w:hAnsi="Trebuchet MS"/>
        </w:rPr>
        <w:t>Bitumen road</w:t>
      </w:r>
      <w:proofErr w:type="gramEnd"/>
      <w:r w:rsidRPr="00E3097E">
        <w:rPr>
          <w:rFonts w:ascii="Trebuchet MS" w:hAnsi="Trebuchet MS"/>
        </w:rPr>
        <w:t xml:space="preserve"> emulsions. Code of practice for the use of cationic bitumen emulsions on roads and other paved area</w:t>
      </w:r>
      <w:r w:rsidR="00A565D5">
        <w:rPr>
          <w:rFonts w:ascii="Trebuchet MS" w:hAnsi="Trebuchet MS"/>
        </w:rPr>
        <w:t>.</w:t>
      </w:r>
    </w:p>
    <w:p w14:paraId="36736E30" w14:textId="333641F4" w:rsidR="0084124D" w:rsidRPr="00E3097E" w:rsidRDefault="0084124D" w:rsidP="00A9758D">
      <w:pPr>
        <w:jc w:val="both"/>
        <w:rPr>
          <w:rFonts w:ascii="Trebuchet MS" w:hAnsi="Trebuchet MS"/>
        </w:rPr>
      </w:pPr>
      <w:r w:rsidRPr="00E3097E">
        <w:rPr>
          <w:rFonts w:ascii="Trebuchet MS" w:hAnsi="Trebuchet MS"/>
        </w:rPr>
        <w:t>[2] BS</w:t>
      </w:r>
      <w:r w:rsidR="00681D9D">
        <w:rPr>
          <w:rFonts w:ascii="Trebuchet MS" w:hAnsi="Trebuchet MS"/>
        </w:rPr>
        <w:t xml:space="preserve"> </w:t>
      </w:r>
      <w:r w:rsidRPr="00E3097E">
        <w:rPr>
          <w:rFonts w:ascii="Trebuchet MS" w:hAnsi="Trebuchet MS"/>
        </w:rPr>
        <w:t>EN</w:t>
      </w:r>
      <w:r w:rsidR="00681D9D">
        <w:rPr>
          <w:rFonts w:ascii="Trebuchet MS" w:hAnsi="Trebuchet MS"/>
        </w:rPr>
        <w:t xml:space="preserve"> </w:t>
      </w:r>
      <w:r w:rsidRPr="00E3097E">
        <w:rPr>
          <w:rFonts w:ascii="Trebuchet MS" w:hAnsi="Trebuchet MS"/>
        </w:rPr>
        <w:t>13</w:t>
      </w:r>
      <w:r w:rsidR="00681D9D">
        <w:rPr>
          <w:rFonts w:ascii="Trebuchet MS" w:hAnsi="Trebuchet MS"/>
        </w:rPr>
        <w:t>1</w:t>
      </w:r>
      <w:r w:rsidRPr="00E3097E">
        <w:rPr>
          <w:rFonts w:ascii="Trebuchet MS" w:hAnsi="Trebuchet MS"/>
        </w:rPr>
        <w:t>08</w:t>
      </w:r>
      <w:r w:rsidR="00681D9D">
        <w:rPr>
          <w:rFonts w:ascii="Trebuchet MS" w:hAnsi="Trebuchet MS"/>
        </w:rPr>
        <w:t>-1</w:t>
      </w:r>
      <w:r w:rsidRPr="00E3097E">
        <w:rPr>
          <w:rFonts w:ascii="Trebuchet MS" w:hAnsi="Trebuchet MS"/>
        </w:rPr>
        <w:t>:201</w:t>
      </w:r>
      <w:r w:rsidR="00DB5E59">
        <w:rPr>
          <w:rFonts w:ascii="Trebuchet MS" w:hAnsi="Trebuchet MS"/>
        </w:rPr>
        <w:t>6</w:t>
      </w:r>
      <w:r w:rsidRPr="00E3097E">
        <w:rPr>
          <w:rFonts w:ascii="Trebuchet MS" w:hAnsi="Trebuchet MS"/>
        </w:rPr>
        <w:t xml:space="preserve"> </w:t>
      </w:r>
      <w:r w:rsidR="00DB5E59" w:rsidRPr="00DB5E59">
        <w:rPr>
          <w:rFonts w:ascii="Trebuchet MS" w:hAnsi="Trebuchet MS"/>
        </w:rPr>
        <w:t>Bituminous mixtures. Material specifications. Asphalt Concrete</w:t>
      </w:r>
    </w:p>
    <w:p w14:paraId="7451E40D" w14:textId="751B157A" w:rsidR="0084124D" w:rsidRPr="00E3097E" w:rsidRDefault="0084124D" w:rsidP="00A9758D">
      <w:pPr>
        <w:jc w:val="both"/>
        <w:rPr>
          <w:rFonts w:ascii="Trebuchet MS" w:hAnsi="Trebuchet MS"/>
        </w:rPr>
      </w:pPr>
      <w:r w:rsidRPr="00E3097E">
        <w:rPr>
          <w:rFonts w:ascii="Trebuchet MS" w:hAnsi="Trebuchet MS"/>
        </w:rPr>
        <w:t>[3] BS 594987:2</w:t>
      </w:r>
      <w:r w:rsidR="002026F8">
        <w:rPr>
          <w:rFonts w:ascii="Trebuchet MS" w:hAnsi="Trebuchet MS"/>
        </w:rPr>
        <w:t>024</w:t>
      </w:r>
      <w:r w:rsidRPr="00E3097E">
        <w:rPr>
          <w:rFonts w:ascii="Trebuchet MS" w:hAnsi="Trebuchet MS"/>
        </w:rPr>
        <w:t xml:space="preserve"> </w:t>
      </w:r>
      <w:r w:rsidR="002026F8" w:rsidRPr="002026F8">
        <w:rPr>
          <w:rFonts w:ascii="Trebuchet MS" w:hAnsi="Trebuchet MS"/>
        </w:rPr>
        <w:t>Asphalt for roads and other trafficked areas. Transport, laying, compaction and product type testing protocols. Specification</w:t>
      </w:r>
    </w:p>
    <w:p w14:paraId="3371B5F8" w14:textId="47596193" w:rsidR="593DE1D5" w:rsidRPr="00E3097E" w:rsidRDefault="593DE1D5" w:rsidP="00A9758D">
      <w:pPr>
        <w:jc w:val="both"/>
        <w:rPr>
          <w:rFonts w:ascii="Trebuchet MS" w:hAnsi="Trebuchet MS"/>
        </w:rPr>
      </w:pPr>
    </w:p>
    <w:p w14:paraId="753395AF" w14:textId="423DE87B" w:rsidR="00E3097E" w:rsidRPr="00E3097E" w:rsidRDefault="0084124D" w:rsidP="00A9758D">
      <w:pPr>
        <w:jc w:val="both"/>
        <w:rPr>
          <w:rFonts w:ascii="Trebuchet MS" w:hAnsi="Trebuchet MS"/>
          <w:b/>
          <w:bCs/>
        </w:rPr>
      </w:pPr>
      <w:r w:rsidRPr="00E3097E">
        <w:rPr>
          <w:rFonts w:ascii="Trebuchet MS" w:hAnsi="Trebuchet MS"/>
          <w:b/>
          <w:bCs/>
        </w:rPr>
        <w:t xml:space="preserve">For further information on all REA Technical Data sheets please look on the “Technical Datasheets” webpage on </w:t>
      </w:r>
      <w:hyperlink r:id="rId11" w:history="1">
        <w:r w:rsidR="00E3097E" w:rsidRPr="00E3097E">
          <w:rPr>
            <w:rStyle w:val="Hyperlink"/>
            <w:rFonts w:ascii="Trebuchet MS" w:hAnsi="Trebuchet MS"/>
            <w:b/>
            <w:bCs/>
          </w:rPr>
          <w:t>www.rea.org.uk</w:t>
        </w:r>
      </w:hyperlink>
      <w:r w:rsidRPr="00E3097E">
        <w:rPr>
          <w:rFonts w:ascii="Trebuchet MS" w:hAnsi="Trebuchet MS"/>
          <w:b/>
          <w:bCs/>
        </w:rPr>
        <w:t xml:space="preserve"> </w:t>
      </w:r>
    </w:p>
    <w:p w14:paraId="69C22073" w14:textId="7F1F7760" w:rsidR="0084124D" w:rsidRPr="00E3097E" w:rsidRDefault="0084124D" w:rsidP="00A9758D">
      <w:pPr>
        <w:jc w:val="both"/>
        <w:rPr>
          <w:rFonts w:ascii="Trebuchet MS" w:hAnsi="Trebuchet MS"/>
          <w:i/>
          <w:iCs/>
        </w:rPr>
      </w:pPr>
      <w:r w:rsidRPr="00E3097E">
        <w:rPr>
          <w:rFonts w:ascii="Trebuchet MS" w:hAnsi="Trebuchet MS"/>
          <w:i/>
          <w:iCs/>
        </w:rPr>
        <w:t>Whilst every care is taken to ensure the accuracy of the general advice offered herein by the Road Emulsion Association, no liability or responsibility of any kind can be accepted by the Association.</w:t>
      </w:r>
    </w:p>
    <w:sectPr w:rsidR="0084124D" w:rsidRPr="00E3097E">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3DAC" w14:textId="77777777" w:rsidR="00490176" w:rsidRDefault="00490176" w:rsidP="00A565D5">
      <w:pPr>
        <w:spacing w:after="0" w:line="240" w:lineRule="auto"/>
      </w:pPr>
      <w:r>
        <w:separator/>
      </w:r>
    </w:p>
  </w:endnote>
  <w:endnote w:type="continuationSeparator" w:id="0">
    <w:p w14:paraId="2D934708" w14:textId="77777777" w:rsidR="00490176" w:rsidRDefault="00490176" w:rsidP="00A5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1955" w14:textId="25401D82" w:rsidR="00A565D5" w:rsidRDefault="00A565D5">
    <w:pPr>
      <w:pStyle w:val="Footer"/>
    </w:pPr>
    <w:r>
      <w:rPr>
        <w:noProof/>
      </w:rPr>
      <mc:AlternateContent>
        <mc:Choice Requires="wps">
          <w:drawing>
            <wp:anchor distT="0" distB="0" distL="0" distR="0" simplePos="0" relativeHeight="251658240" behindDoc="0" locked="0" layoutInCell="1" allowOverlap="1" wp14:anchorId="27B8CC62" wp14:editId="4B12225C">
              <wp:simplePos x="635" y="635"/>
              <wp:positionH relativeFrom="page">
                <wp:align>center</wp:align>
              </wp:positionH>
              <wp:positionV relativeFrom="page">
                <wp:align>bottom</wp:align>
              </wp:positionV>
              <wp:extent cx="4411980" cy="347980"/>
              <wp:effectExtent l="0" t="0" r="7620" b="0"/>
              <wp:wrapNone/>
              <wp:docPr id="1725855516"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53EFEA27" w14:textId="35F6C65E"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8CC62"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53EFEA27" w14:textId="35F6C65E"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E723" w14:textId="17F4000B" w:rsidR="00A565D5" w:rsidRDefault="00A565D5">
    <w:pPr>
      <w:pStyle w:val="Footer"/>
    </w:pPr>
    <w:r>
      <w:rPr>
        <w:noProof/>
      </w:rPr>
      <mc:AlternateContent>
        <mc:Choice Requires="wps">
          <w:drawing>
            <wp:anchor distT="0" distB="0" distL="0" distR="0" simplePos="0" relativeHeight="251658241" behindDoc="0" locked="0" layoutInCell="1" allowOverlap="1" wp14:anchorId="06B26A56" wp14:editId="0051EA38">
              <wp:simplePos x="635" y="635"/>
              <wp:positionH relativeFrom="page">
                <wp:align>center</wp:align>
              </wp:positionH>
              <wp:positionV relativeFrom="page">
                <wp:align>bottom</wp:align>
              </wp:positionV>
              <wp:extent cx="4411980" cy="347980"/>
              <wp:effectExtent l="0" t="0" r="7620" b="0"/>
              <wp:wrapNone/>
              <wp:docPr id="835819769"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1E5D0097" w14:textId="70EC5381"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26A56"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1E5D0097" w14:textId="70EC5381"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777F" w14:textId="35BA9962" w:rsidR="00A565D5" w:rsidRDefault="00A565D5">
    <w:pPr>
      <w:pStyle w:val="Footer"/>
    </w:pPr>
    <w:r>
      <w:rPr>
        <w:noProof/>
      </w:rPr>
      <mc:AlternateContent>
        <mc:Choice Requires="wps">
          <w:drawing>
            <wp:anchor distT="0" distB="0" distL="0" distR="0" simplePos="0" relativeHeight="251658242" behindDoc="0" locked="0" layoutInCell="1" allowOverlap="1" wp14:anchorId="529B184C" wp14:editId="1A20F229">
              <wp:simplePos x="635" y="635"/>
              <wp:positionH relativeFrom="page">
                <wp:align>center</wp:align>
              </wp:positionH>
              <wp:positionV relativeFrom="page">
                <wp:align>bottom</wp:align>
              </wp:positionV>
              <wp:extent cx="4411980" cy="347980"/>
              <wp:effectExtent l="0" t="0" r="7620" b="0"/>
              <wp:wrapNone/>
              <wp:docPr id="751093092"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77AE6B2D" w14:textId="7952A3B1"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B184C"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77AE6B2D" w14:textId="7952A3B1" w:rsidR="00A565D5" w:rsidRPr="00A565D5" w:rsidRDefault="00A565D5" w:rsidP="00A565D5">
                    <w:pPr>
                      <w:spacing w:after="0"/>
                      <w:rPr>
                        <w:rFonts w:ascii="Arial" w:eastAsia="Arial" w:hAnsi="Arial" w:cs="Arial"/>
                        <w:noProof/>
                        <w:color w:val="29CF00"/>
                        <w:sz w:val="20"/>
                        <w:szCs w:val="20"/>
                      </w:rPr>
                    </w:pPr>
                    <w:r w:rsidRPr="00A565D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5456" w14:textId="77777777" w:rsidR="00490176" w:rsidRDefault="00490176" w:rsidP="00A565D5">
      <w:pPr>
        <w:spacing w:after="0" w:line="240" w:lineRule="auto"/>
      </w:pPr>
      <w:r>
        <w:separator/>
      </w:r>
    </w:p>
  </w:footnote>
  <w:footnote w:type="continuationSeparator" w:id="0">
    <w:p w14:paraId="35F1C417" w14:textId="77777777" w:rsidR="00490176" w:rsidRDefault="00490176" w:rsidP="00A56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F6F"/>
    <w:multiLevelType w:val="hybridMultilevel"/>
    <w:tmpl w:val="820CA9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30A46"/>
    <w:multiLevelType w:val="hybridMultilevel"/>
    <w:tmpl w:val="270E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634BE"/>
    <w:multiLevelType w:val="hybridMultilevel"/>
    <w:tmpl w:val="A43C118E"/>
    <w:lvl w:ilvl="0" w:tplc="CECE6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07497C"/>
    <w:multiLevelType w:val="hybridMultilevel"/>
    <w:tmpl w:val="DC0A25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7B23AF"/>
    <w:multiLevelType w:val="hybridMultilevel"/>
    <w:tmpl w:val="0B0C3126"/>
    <w:lvl w:ilvl="0" w:tplc="24DC93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3117532">
    <w:abstractNumId w:val="1"/>
  </w:num>
  <w:num w:numId="2" w16cid:durableId="1514415639">
    <w:abstractNumId w:val="0"/>
  </w:num>
  <w:num w:numId="3" w16cid:durableId="733967985">
    <w:abstractNumId w:val="4"/>
  </w:num>
  <w:num w:numId="4" w16cid:durableId="1636832322">
    <w:abstractNumId w:val="3"/>
  </w:num>
  <w:num w:numId="5" w16cid:durableId="1557473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4D"/>
    <w:rsid w:val="00075DFB"/>
    <w:rsid w:val="002026F8"/>
    <w:rsid w:val="00320DB4"/>
    <w:rsid w:val="00490176"/>
    <w:rsid w:val="00556553"/>
    <w:rsid w:val="00681D9D"/>
    <w:rsid w:val="006B4D8A"/>
    <w:rsid w:val="0084124D"/>
    <w:rsid w:val="008F54D7"/>
    <w:rsid w:val="00A565D5"/>
    <w:rsid w:val="00A96908"/>
    <w:rsid w:val="00A9758D"/>
    <w:rsid w:val="00B329EF"/>
    <w:rsid w:val="00BF1E51"/>
    <w:rsid w:val="00C610C5"/>
    <w:rsid w:val="00CE03CB"/>
    <w:rsid w:val="00D17EFE"/>
    <w:rsid w:val="00D50C9B"/>
    <w:rsid w:val="00DB5E59"/>
    <w:rsid w:val="00DD07A2"/>
    <w:rsid w:val="00E3097E"/>
    <w:rsid w:val="00E75D97"/>
    <w:rsid w:val="47A0EA4D"/>
    <w:rsid w:val="50406EBE"/>
    <w:rsid w:val="593DE1D5"/>
    <w:rsid w:val="6EBFA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B120"/>
  <w15:chartTrackingRefBased/>
  <w15:docId w15:val="{F1BCC787-6F3E-47CE-9C89-C6BC5644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4D"/>
    <w:pPr>
      <w:ind w:left="720"/>
      <w:contextualSpacing/>
    </w:pPr>
  </w:style>
  <w:style w:type="paragraph" w:customStyle="1" w:styleId="TableParagraph">
    <w:name w:val="Table Paragraph"/>
    <w:basedOn w:val="Normal"/>
    <w:uiPriority w:val="1"/>
    <w:qFormat/>
    <w:rsid w:val="00E3097E"/>
    <w:pPr>
      <w:widowControl w:val="0"/>
      <w:autoSpaceDE w:val="0"/>
      <w:autoSpaceDN w:val="0"/>
      <w:spacing w:after="0" w:line="240" w:lineRule="auto"/>
      <w:ind w:left="107"/>
    </w:pPr>
    <w:rPr>
      <w:rFonts w:ascii="Trebuchet MS" w:eastAsia="Trebuchet MS" w:hAnsi="Trebuchet MS" w:cs="Trebuchet MS"/>
      <w:lang w:val="en-US"/>
    </w:rPr>
  </w:style>
  <w:style w:type="character" w:styleId="Hyperlink">
    <w:name w:val="Hyperlink"/>
    <w:basedOn w:val="DefaultParagraphFont"/>
    <w:uiPriority w:val="99"/>
    <w:unhideWhenUsed/>
    <w:rsid w:val="00E3097E"/>
    <w:rPr>
      <w:color w:val="0563C1" w:themeColor="hyperlink"/>
      <w:u w:val="single"/>
    </w:rPr>
  </w:style>
  <w:style w:type="character" w:styleId="UnresolvedMention">
    <w:name w:val="Unresolved Mention"/>
    <w:basedOn w:val="DefaultParagraphFont"/>
    <w:uiPriority w:val="99"/>
    <w:semiHidden/>
    <w:unhideWhenUsed/>
    <w:rsid w:val="00E3097E"/>
    <w:rPr>
      <w:color w:val="605E5C"/>
      <w:shd w:val="clear" w:color="auto" w:fill="E1DFDD"/>
    </w:rPr>
  </w:style>
  <w:style w:type="paragraph" w:styleId="Footer">
    <w:name w:val="footer"/>
    <w:basedOn w:val="Normal"/>
    <w:link w:val="FooterChar"/>
    <w:uiPriority w:val="99"/>
    <w:unhideWhenUsed/>
    <w:rsid w:val="00A56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5D5"/>
  </w:style>
  <w:style w:type="paragraph" w:styleId="Header">
    <w:name w:val="header"/>
    <w:basedOn w:val="Normal"/>
    <w:link w:val="HeaderChar"/>
    <w:uiPriority w:val="99"/>
    <w:semiHidden/>
    <w:unhideWhenUsed/>
    <w:rsid w:val="00A969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EE2D2-8A08-4125-B569-9943666D326E}">
  <ds:schemaRefs>
    <ds:schemaRef ds:uri="http://schemas.microsoft.com/sharepoint/v3/contenttype/forms"/>
  </ds:schemaRefs>
</ds:datastoreItem>
</file>

<file path=customXml/itemProps2.xml><?xml version="1.0" encoding="utf-8"?>
<ds:datastoreItem xmlns:ds="http://schemas.openxmlformats.org/officeDocument/2006/customXml" ds:itemID="{87815EA7-BF74-4FFB-B72C-FC29A340F76F}">
  <ds:schemaRefs>
    <ds:schemaRef ds:uri="http://schemas.microsoft.com/office/2006/metadata/properties"/>
    <ds:schemaRef ds:uri="http://schemas.microsoft.com/office/infopath/2007/PartnerControls"/>
    <ds:schemaRef ds:uri="3bfd5da4-30ba-4d88-98e1-963edc390054"/>
  </ds:schemaRefs>
</ds:datastoreItem>
</file>

<file path=customXml/itemProps3.xml><?xml version="1.0" encoding="utf-8"?>
<ds:datastoreItem xmlns:ds="http://schemas.openxmlformats.org/officeDocument/2006/customXml" ds:itemID="{7A23DFEA-A39E-4CCC-B3AE-4642CD8A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19</cp:revision>
  <dcterms:created xsi:type="dcterms:W3CDTF">2023-05-08T14:28:00Z</dcterms:created>
  <dcterms:modified xsi:type="dcterms:W3CDTF">2025-08-08T15:21:00Z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2023-05-08T14:28:29Z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b0179b50-f0e2-459b-9d27-8cb82c714aba</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2cc4c564,66de771c,31d198f9</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