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5"/>
        <w:gridCol w:w="6355"/>
      </w:tblGrid>
      <w:tr w:rsidR="003F4273" w14:paraId="0E2FC8D7" w14:textId="77777777" w:rsidTr="00087153">
        <w:trPr>
          <w:trHeight w:val="1242"/>
        </w:trPr>
        <w:tc>
          <w:tcPr>
            <w:tcW w:w="2955" w:type="dxa"/>
          </w:tcPr>
          <w:p w14:paraId="5326EA7E" w14:textId="77777777" w:rsidR="003F4273" w:rsidRDefault="003F4273" w:rsidP="00DD72F1">
            <w:pPr>
              <w:pStyle w:val="TableParagraph"/>
              <w:spacing w:before="1"/>
              <w:ind w:left="0"/>
              <w:rPr>
                <w:rFonts w:ascii="Times New Roman"/>
                <w:sz w:val="7"/>
              </w:rPr>
            </w:pPr>
          </w:p>
          <w:p w14:paraId="16FED705" w14:textId="77777777" w:rsidR="003F4273" w:rsidRDefault="003F4273" w:rsidP="00DD72F1">
            <w:pPr>
              <w:pStyle w:val="TableParagraph"/>
              <w:ind w:left="158"/>
              <w:rPr>
                <w:rFonts w:ascii="Times New Roman"/>
                <w:sz w:val="20"/>
              </w:rPr>
            </w:pPr>
            <w:r>
              <w:rPr>
                <w:rFonts w:ascii="Times New Roman"/>
                <w:noProof/>
                <w:sz w:val="20"/>
              </w:rPr>
              <w:drawing>
                <wp:inline distT="0" distB="0" distL="0" distR="0" wp14:anchorId="5A38A736" wp14:editId="4A73AAEB">
                  <wp:extent cx="1614030" cy="595883"/>
                  <wp:effectExtent l="0" t="0" r="0" b="0"/>
                  <wp:docPr id="1" name="image1.png" descr="A picture containing font, text, graphics,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font, text, graphics, green&#10;&#10;Description automatically generated"/>
                          <pic:cNvPicPr/>
                        </pic:nvPicPr>
                        <pic:blipFill>
                          <a:blip r:embed="rId10" cstate="print"/>
                          <a:stretch>
                            <a:fillRect/>
                          </a:stretch>
                        </pic:blipFill>
                        <pic:spPr>
                          <a:xfrm>
                            <a:off x="0" y="0"/>
                            <a:ext cx="1614030" cy="595883"/>
                          </a:xfrm>
                          <a:prstGeom prst="rect">
                            <a:avLst/>
                          </a:prstGeom>
                        </pic:spPr>
                      </pic:pic>
                    </a:graphicData>
                  </a:graphic>
                </wp:inline>
              </w:drawing>
            </w:r>
          </w:p>
        </w:tc>
        <w:tc>
          <w:tcPr>
            <w:tcW w:w="6355" w:type="dxa"/>
          </w:tcPr>
          <w:p w14:paraId="4C02BCAC" w14:textId="77777777" w:rsidR="00F5218E" w:rsidRPr="006D2DAF" w:rsidRDefault="003F4273" w:rsidP="006D2DAF">
            <w:pPr>
              <w:pStyle w:val="TableParagraph"/>
              <w:spacing w:before="11" w:line="256" w:lineRule="auto"/>
              <w:ind w:right="1483"/>
              <w:rPr>
                <w:b/>
                <w:sz w:val="32"/>
              </w:rPr>
            </w:pPr>
            <w:r w:rsidRPr="006D2DAF">
              <w:rPr>
                <w:b/>
                <w:sz w:val="32"/>
              </w:rPr>
              <w:t xml:space="preserve">Technical Data Sheet No.2 </w:t>
            </w:r>
          </w:p>
          <w:p w14:paraId="141675A0" w14:textId="0F0E79E5" w:rsidR="00992A23" w:rsidRPr="00E9496B" w:rsidRDefault="003F4273" w:rsidP="00F26C4E">
            <w:pPr>
              <w:pStyle w:val="TableParagraph"/>
              <w:rPr>
                <w:b/>
                <w:color w:val="87BE2A"/>
                <w:sz w:val="32"/>
              </w:rPr>
            </w:pPr>
            <w:r w:rsidRPr="00E9496B">
              <w:rPr>
                <w:b/>
                <w:color w:val="87BE2A"/>
                <w:sz w:val="32"/>
              </w:rPr>
              <w:t xml:space="preserve">Recommendations for the Safe </w:t>
            </w:r>
            <w:r w:rsidR="009E30B0" w:rsidRPr="00E9496B">
              <w:rPr>
                <w:b/>
                <w:color w:val="87BE2A"/>
                <w:sz w:val="32"/>
              </w:rPr>
              <w:t>H</w:t>
            </w:r>
            <w:r w:rsidRPr="00E9496B">
              <w:rPr>
                <w:b/>
                <w:color w:val="87BE2A"/>
                <w:sz w:val="32"/>
              </w:rPr>
              <w:t>andling and Storage of Bitumen Emulsions</w:t>
            </w:r>
          </w:p>
          <w:p w14:paraId="09A80761" w14:textId="4BF6D0EE" w:rsidR="003F4273" w:rsidRDefault="003F4273" w:rsidP="00DD72F1">
            <w:pPr>
              <w:pStyle w:val="TableParagraph"/>
              <w:spacing w:line="232" w:lineRule="exact"/>
              <w:rPr>
                <w:sz w:val="20"/>
              </w:rPr>
            </w:pPr>
            <w:r>
              <w:rPr>
                <w:sz w:val="20"/>
              </w:rPr>
              <w:t>Revised</w:t>
            </w:r>
            <w:r w:rsidRPr="00384E92">
              <w:rPr>
                <w:sz w:val="20"/>
              </w:rPr>
              <w:t xml:space="preserve"> </w:t>
            </w:r>
            <w:r>
              <w:rPr>
                <w:sz w:val="20"/>
              </w:rPr>
              <w:t>by</w:t>
            </w:r>
            <w:r w:rsidRPr="00384E92">
              <w:rPr>
                <w:sz w:val="20"/>
              </w:rPr>
              <w:t xml:space="preserve"> </w:t>
            </w:r>
            <w:r>
              <w:rPr>
                <w:sz w:val="20"/>
              </w:rPr>
              <w:t>the</w:t>
            </w:r>
            <w:r w:rsidRPr="00384E92">
              <w:rPr>
                <w:sz w:val="20"/>
              </w:rPr>
              <w:t xml:space="preserve"> </w:t>
            </w:r>
            <w:r>
              <w:rPr>
                <w:sz w:val="20"/>
              </w:rPr>
              <w:t>Association’s</w:t>
            </w:r>
            <w:r w:rsidRPr="00384E92">
              <w:rPr>
                <w:sz w:val="20"/>
              </w:rPr>
              <w:t xml:space="preserve"> </w:t>
            </w:r>
            <w:r>
              <w:rPr>
                <w:sz w:val="20"/>
              </w:rPr>
              <w:t>Technical</w:t>
            </w:r>
            <w:r w:rsidRPr="00384E92">
              <w:rPr>
                <w:sz w:val="20"/>
              </w:rPr>
              <w:t xml:space="preserve"> </w:t>
            </w:r>
            <w:r>
              <w:rPr>
                <w:sz w:val="20"/>
              </w:rPr>
              <w:t>Committee</w:t>
            </w:r>
            <w:r w:rsidRPr="00384E92">
              <w:rPr>
                <w:sz w:val="20"/>
              </w:rPr>
              <w:t xml:space="preserve"> </w:t>
            </w:r>
            <w:r>
              <w:rPr>
                <w:sz w:val="20"/>
              </w:rPr>
              <w:t>-</w:t>
            </w:r>
            <w:r w:rsidRPr="00384E92">
              <w:rPr>
                <w:sz w:val="20"/>
              </w:rPr>
              <w:t xml:space="preserve"> </w:t>
            </w:r>
            <w:r w:rsidR="00D16C3F">
              <w:rPr>
                <w:sz w:val="20"/>
              </w:rPr>
              <w:t>August</w:t>
            </w:r>
            <w:r>
              <w:rPr>
                <w:sz w:val="20"/>
              </w:rPr>
              <w:t xml:space="preserve"> 202</w:t>
            </w:r>
            <w:r w:rsidR="008140E4">
              <w:rPr>
                <w:sz w:val="20"/>
              </w:rPr>
              <w:t>5</w:t>
            </w:r>
          </w:p>
        </w:tc>
      </w:tr>
    </w:tbl>
    <w:p w14:paraId="030F3863" w14:textId="77777777" w:rsidR="009B3D8F" w:rsidRPr="0089166A" w:rsidRDefault="009B3D8F" w:rsidP="00191841">
      <w:pPr>
        <w:rPr>
          <w:rFonts w:ascii="Trebuchet MS" w:hAnsi="Trebuchet MS"/>
        </w:rPr>
      </w:pPr>
    </w:p>
    <w:p w14:paraId="0A963714" w14:textId="69AA5F30" w:rsidR="009B3D8F" w:rsidRPr="0089166A" w:rsidRDefault="009B3D8F" w:rsidP="00191841">
      <w:pPr>
        <w:rPr>
          <w:rFonts w:ascii="Trebuchet MS" w:hAnsi="Trebuchet MS"/>
          <w:b/>
          <w:bCs/>
        </w:rPr>
      </w:pPr>
      <w:r w:rsidRPr="0089166A">
        <w:rPr>
          <w:rFonts w:ascii="Trebuchet MS" w:hAnsi="Trebuchet MS"/>
          <w:b/>
          <w:bCs/>
        </w:rPr>
        <w:t>1</w:t>
      </w:r>
      <w:r w:rsidR="467D2326" w:rsidRPr="0089166A">
        <w:rPr>
          <w:rFonts w:ascii="Trebuchet MS" w:eastAsia="Calibri" w:hAnsi="Trebuchet MS" w:cs="Calibri"/>
          <w:b/>
          <w:bCs/>
        </w:rPr>
        <w:t xml:space="preserve">. Introduction </w:t>
      </w:r>
    </w:p>
    <w:p w14:paraId="02119EC7" w14:textId="3BAF2899" w:rsidR="467D2326" w:rsidRPr="0089166A" w:rsidRDefault="467D2326" w:rsidP="0089083C">
      <w:pPr>
        <w:jc w:val="both"/>
        <w:rPr>
          <w:rFonts w:ascii="Trebuchet MS" w:hAnsi="Trebuchet MS"/>
        </w:rPr>
      </w:pPr>
      <w:r w:rsidRPr="0089166A">
        <w:rPr>
          <w:rFonts w:ascii="Trebuchet MS" w:eastAsia="Calibri" w:hAnsi="Trebuchet MS" w:cs="Calibri"/>
        </w:rPr>
        <w:t xml:space="preserve">Bitumen road emulsions are </w:t>
      </w:r>
      <w:proofErr w:type="gramStart"/>
      <w:r w:rsidRPr="0089166A">
        <w:rPr>
          <w:rFonts w:ascii="Trebuchet MS" w:eastAsia="Calibri" w:hAnsi="Trebuchet MS" w:cs="Calibri"/>
        </w:rPr>
        <w:t>water based</w:t>
      </w:r>
      <w:proofErr w:type="gramEnd"/>
      <w:r w:rsidRPr="0089166A">
        <w:rPr>
          <w:rFonts w:ascii="Trebuchet MS" w:eastAsia="Calibri" w:hAnsi="Trebuchet MS" w:cs="Calibri"/>
        </w:rPr>
        <w:t xml:space="preserve"> road construction products in which the dispersed phase is bitumen. Bitumen itself is a virtually involatile, adhesive and waterproofing material derived from crude petroleum and is very viscous or nearly solid at ambient temperature [1]. It is emulsified in water by processing with various </w:t>
      </w:r>
      <w:proofErr w:type="gramStart"/>
      <w:r w:rsidRPr="0089166A">
        <w:rPr>
          <w:rFonts w:ascii="Trebuchet MS" w:eastAsia="Calibri" w:hAnsi="Trebuchet MS" w:cs="Calibri"/>
        </w:rPr>
        <w:t>surface active</w:t>
      </w:r>
      <w:proofErr w:type="gramEnd"/>
      <w:r w:rsidRPr="0089166A">
        <w:rPr>
          <w:rFonts w:ascii="Trebuchet MS" w:eastAsia="Calibri" w:hAnsi="Trebuchet MS" w:cs="Calibri"/>
        </w:rPr>
        <w:t xml:space="preserve"> additives and other chemicals to decrease its viscosity. This is to enable application in road surfacing at a lower temperature than otherwise would be possible. On application, the water phase of the emulsion is naturally removed by absorption on the road surface or evaporation, leaving behind a residual bituminous binder. There are two major types of bitumen emulsion depending on the chemical structure of the </w:t>
      </w:r>
      <w:proofErr w:type="gramStart"/>
      <w:r w:rsidRPr="0089166A">
        <w:rPr>
          <w:rFonts w:ascii="Trebuchet MS" w:eastAsia="Calibri" w:hAnsi="Trebuchet MS" w:cs="Calibri"/>
        </w:rPr>
        <w:t>surface active</w:t>
      </w:r>
      <w:proofErr w:type="gramEnd"/>
      <w:r w:rsidRPr="0089166A">
        <w:rPr>
          <w:rFonts w:ascii="Trebuchet MS" w:eastAsia="Calibri" w:hAnsi="Trebuchet MS" w:cs="Calibri"/>
        </w:rPr>
        <w:t xml:space="preserve"> additives. These are known as Cationic (supplied to BS EN 13808) [2] and Anionic (supplied to BS 434-1) [3]. </w:t>
      </w:r>
    </w:p>
    <w:p w14:paraId="7E4E0C69" w14:textId="4560D5B5" w:rsidR="4DF53C73" w:rsidRPr="0089166A" w:rsidRDefault="4DF53C73" w:rsidP="00191841">
      <w:pPr>
        <w:rPr>
          <w:rFonts w:ascii="Trebuchet MS" w:eastAsia="Calibri" w:hAnsi="Trebuchet MS" w:cs="Calibri"/>
        </w:rPr>
      </w:pPr>
    </w:p>
    <w:p w14:paraId="542489BB" w14:textId="0863AE0A" w:rsidR="467D2326" w:rsidRPr="0089166A" w:rsidRDefault="467D2326" w:rsidP="00191841">
      <w:pPr>
        <w:rPr>
          <w:rFonts w:ascii="Trebuchet MS" w:hAnsi="Trebuchet MS"/>
          <w:b/>
          <w:bCs/>
        </w:rPr>
      </w:pPr>
      <w:r w:rsidRPr="0089166A">
        <w:rPr>
          <w:rFonts w:ascii="Trebuchet MS" w:eastAsia="Calibri" w:hAnsi="Trebuchet MS" w:cs="Calibri"/>
          <w:b/>
          <w:bCs/>
        </w:rPr>
        <w:t xml:space="preserve">2. Safety Health and Environment </w:t>
      </w:r>
    </w:p>
    <w:p w14:paraId="3E8BF616" w14:textId="5C508A74" w:rsidR="467D2326" w:rsidRPr="0089166A" w:rsidRDefault="467D2326" w:rsidP="0089083C">
      <w:pPr>
        <w:jc w:val="both"/>
        <w:rPr>
          <w:rFonts w:ascii="Trebuchet MS" w:hAnsi="Trebuchet MS"/>
        </w:rPr>
      </w:pPr>
      <w:r w:rsidRPr="0089166A">
        <w:rPr>
          <w:rFonts w:ascii="Trebuchet MS" w:eastAsia="Calibri" w:hAnsi="Trebuchet MS" w:cs="Calibri"/>
        </w:rPr>
        <w:t xml:space="preserve">Bitumen in service as a road surfacing material is not known to present any safety, health or environmental hazard [4] and its use for this purpose is permitted and registered under EU chemical safety legislation [5]. Suppliers of bitumen emulsions must provide Material Safety Data Sheets detailing any additional safety, health or environmental hazards brought about </w:t>
      </w:r>
      <w:proofErr w:type="gramStart"/>
      <w:r w:rsidRPr="0089166A">
        <w:rPr>
          <w:rFonts w:ascii="Trebuchet MS" w:eastAsia="Calibri" w:hAnsi="Trebuchet MS" w:cs="Calibri"/>
        </w:rPr>
        <w:t>as a result of</w:t>
      </w:r>
      <w:proofErr w:type="gramEnd"/>
      <w:r w:rsidRPr="0089166A">
        <w:rPr>
          <w:rFonts w:ascii="Trebuchet MS" w:eastAsia="Calibri" w:hAnsi="Trebuchet MS" w:cs="Calibri"/>
        </w:rPr>
        <w:t xml:space="preserve"> emulsification of the bitumen and its subsequent application. Emulsions are non-flammable, although the dried bituminous film will support combustion. Depending on the particular use, they may be applied at various temperatures above freezing, ranging from ambient, where there is no additional hazard due to temperature, up to a maximum of 90°C. At elevated temperatures, additional precautions should be taken to avoid scalding. </w:t>
      </w:r>
    </w:p>
    <w:p w14:paraId="7F4DB550" w14:textId="065E4EB2" w:rsidR="467D2326" w:rsidRPr="0089166A" w:rsidRDefault="467D2326" w:rsidP="0089083C">
      <w:pPr>
        <w:jc w:val="both"/>
        <w:rPr>
          <w:rFonts w:ascii="Trebuchet MS" w:hAnsi="Trebuchet MS"/>
        </w:rPr>
      </w:pPr>
      <w:r w:rsidRPr="0089166A">
        <w:rPr>
          <w:rFonts w:ascii="Trebuchet MS" w:eastAsia="Calibri" w:hAnsi="Trebuchet MS" w:cs="Calibri"/>
        </w:rPr>
        <w:t xml:space="preserve">Emulsions should never be heated above 90°C to avoid the possibility of boiling and hazardous spillage due to vigorous frothing. Also, heating </w:t>
      </w:r>
      <w:proofErr w:type="gramStart"/>
      <w:r w:rsidRPr="0089166A">
        <w:rPr>
          <w:rFonts w:ascii="Trebuchet MS" w:eastAsia="Calibri" w:hAnsi="Trebuchet MS" w:cs="Calibri"/>
        </w:rPr>
        <w:t>in excess of</w:t>
      </w:r>
      <w:proofErr w:type="gramEnd"/>
      <w:r w:rsidRPr="0089166A">
        <w:rPr>
          <w:rFonts w:ascii="Trebuchet MS" w:eastAsia="Calibri" w:hAnsi="Trebuchet MS" w:cs="Calibri"/>
        </w:rPr>
        <w:t xml:space="preserve"> 90°C or for prolonged periods at lower temperature can damage emulsions, changing their application properties. Similarly, emulsions should be protected from freezing to avoid damaging them. </w:t>
      </w:r>
    </w:p>
    <w:p w14:paraId="008AD09F" w14:textId="175F524F" w:rsidR="467D2326" w:rsidRPr="0089166A" w:rsidRDefault="467D2326" w:rsidP="0089083C">
      <w:pPr>
        <w:jc w:val="both"/>
        <w:rPr>
          <w:rFonts w:ascii="Trebuchet MS" w:hAnsi="Trebuchet MS"/>
        </w:rPr>
      </w:pPr>
      <w:r w:rsidRPr="0089166A">
        <w:rPr>
          <w:rFonts w:ascii="Trebuchet MS" w:eastAsia="Calibri" w:hAnsi="Trebuchet MS" w:cs="Calibri"/>
        </w:rPr>
        <w:t xml:space="preserve">If emulsions </w:t>
      </w:r>
      <w:proofErr w:type="gramStart"/>
      <w:r w:rsidRPr="0089166A">
        <w:rPr>
          <w:rFonts w:ascii="Trebuchet MS" w:eastAsia="Calibri" w:hAnsi="Trebuchet MS" w:cs="Calibri"/>
        </w:rPr>
        <w:t>come into contact with</w:t>
      </w:r>
      <w:proofErr w:type="gramEnd"/>
      <w:r w:rsidRPr="0089166A">
        <w:rPr>
          <w:rFonts w:ascii="Trebuchet MS" w:eastAsia="Calibri" w:hAnsi="Trebuchet MS" w:cs="Calibri"/>
        </w:rPr>
        <w:t xml:space="preserve"> hot bitumen above 100°C, there is a significant risk of spillage due to rapid expansion of the boiling mixture. Where it is necessary to change the use of a storage tank from an emulsion to bitumen or vice versa, advice should be sought from the bitumen and emulsion suppliers. Care should also be taken to ensure that cationic and anionic emulsions are never mixed as they are chemically incompatible and will coagulate one another rendering themselves unusable. </w:t>
      </w:r>
    </w:p>
    <w:p w14:paraId="649800C4" w14:textId="3000AEC0" w:rsidR="467D2326" w:rsidRPr="0089166A" w:rsidRDefault="467D2326" w:rsidP="0089083C">
      <w:pPr>
        <w:jc w:val="both"/>
        <w:rPr>
          <w:rFonts w:ascii="Trebuchet MS" w:hAnsi="Trebuchet MS"/>
        </w:rPr>
      </w:pPr>
      <w:r w:rsidRPr="0089166A">
        <w:rPr>
          <w:rFonts w:ascii="Trebuchet MS" w:eastAsia="Calibri" w:hAnsi="Trebuchet MS" w:cs="Calibri"/>
        </w:rPr>
        <w:t xml:space="preserve">Eyes should be protected from splashes of emulsion </w:t>
      </w:r>
      <w:proofErr w:type="gramStart"/>
      <w:r w:rsidRPr="0089166A">
        <w:rPr>
          <w:rFonts w:ascii="Trebuchet MS" w:eastAsia="Calibri" w:hAnsi="Trebuchet MS" w:cs="Calibri"/>
        </w:rPr>
        <w:t>by the use of</w:t>
      </w:r>
      <w:proofErr w:type="gramEnd"/>
      <w:r w:rsidRPr="0089166A">
        <w:rPr>
          <w:rFonts w:ascii="Trebuchet MS" w:eastAsia="Calibri" w:hAnsi="Trebuchet MS" w:cs="Calibri"/>
        </w:rPr>
        <w:t xml:space="preserve"> safe working practices and wearing suitable goggles or visors. If the eyes are accidentally splashed with </w:t>
      </w:r>
      <w:r w:rsidR="001C3908" w:rsidRPr="0089166A">
        <w:rPr>
          <w:rFonts w:ascii="Trebuchet MS" w:eastAsia="Calibri" w:hAnsi="Trebuchet MS" w:cs="Calibri"/>
        </w:rPr>
        <w:t>emulsion</w:t>
      </w:r>
      <w:r w:rsidR="00BE71EB">
        <w:rPr>
          <w:rFonts w:ascii="Trebuchet MS" w:eastAsia="Calibri" w:hAnsi="Trebuchet MS" w:cs="Calibri"/>
        </w:rPr>
        <w:t xml:space="preserve">, </w:t>
      </w:r>
      <w:r w:rsidRPr="0089166A">
        <w:rPr>
          <w:rFonts w:ascii="Trebuchet MS" w:eastAsia="Calibri" w:hAnsi="Trebuchet MS" w:cs="Calibri"/>
        </w:rPr>
        <w:t xml:space="preserve">they should be irrigated thoroughly with cold water for at least 5 minutes and urgent medical advice sought. </w:t>
      </w:r>
    </w:p>
    <w:p w14:paraId="67C393A9" w14:textId="4DA11476" w:rsidR="467D2326" w:rsidRPr="0089166A" w:rsidRDefault="467D2326" w:rsidP="0089083C">
      <w:pPr>
        <w:jc w:val="both"/>
        <w:rPr>
          <w:rFonts w:ascii="Trebuchet MS" w:hAnsi="Trebuchet MS"/>
        </w:rPr>
      </w:pPr>
      <w:r w:rsidRPr="0089166A">
        <w:rPr>
          <w:rFonts w:ascii="Trebuchet MS" w:eastAsia="Calibri" w:hAnsi="Trebuchet MS" w:cs="Calibri"/>
        </w:rPr>
        <w:t xml:space="preserve">Scalds should be immediately plunged under cold running water and held there for at least 10 minutes or until thoroughly cold. No attempt should be made to remove cold bitumen </w:t>
      </w:r>
      <w:r w:rsidRPr="0089166A">
        <w:rPr>
          <w:rFonts w:ascii="Trebuchet MS" w:eastAsia="Calibri" w:hAnsi="Trebuchet MS" w:cs="Calibri"/>
        </w:rPr>
        <w:lastRenderedPageBreak/>
        <w:t xml:space="preserve">which has adhered to the skin unless circulation is </w:t>
      </w:r>
      <w:proofErr w:type="gramStart"/>
      <w:r w:rsidRPr="0089166A">
        <w:rPr>
          <w:rFonts w:ascii="Trebuchet MS" w:eastAsia="Calibri" w:hAnsi="Trebuchet MS" w:cs="Calibri"/>
        </w:rPr>
        <w:t>impeded</w:t>
      </w:r>
      <w:proofErr w:type="gramEnd"/>
      <w:r w:rsidRPr="0089166A">
        <w:rPr>
          <w:rFonts w:ascii="Trebuchet MS" w:eastAsia="Calibri" w:hAnsi="Trebuchet MS" w:cs="Calibri"/>
        </w:rPr>
        <w:t xml:space="preserve"> and medical advice should be sought [6]. </w:t>
      </w:r>
    </w:p>
    <w:p w14:paraId="16803DFB" w14:textId="76369FC6" w:rsidR="43C6ED89" w:rsidRPr="0089166A" w:rsidRDefault="43C6ED89" w:rsidP="0089083C">
      <w:pPr>
        <w:jc w:val="both"/>
        <w:rPr>
          <w:rFonts w:ascii="Trebuchet MS" w:hAnsi="Trebuchet MS"/>
        </w:rPr>
      </w:pPr>
      <w:r w:rsidRPr="0089166A">
        <w:rPr>
          <w:rFonts w:ascii="Trebuchet MS" w:eastAsia="Calibri" w:hAnsi="Trebuchet MS" w:cs="Calibri"/>
        </w:rPr>
        <w:t>C</w:t>
      </w:r>
      <w:r w:rsidR="467D2326" w:rsidRPr="0089166A">
        <w:rPr>
          <w:rFonts w:ascii="Trebuchet MS" w:eastAsia="Calibri" w:hAnsi="Trebuchet MS" w:cs="Calibri"/>
        </w:rPr>
        <w:t xml:space="preserve">ontact of bitumen emulsion with the skin should be avoided </w:t>
      </w:r>
      <w:proofErr w:type="gramStart"/>
      <w:r w:rsidR="467D2326" w:rsidRPr="0089166A">
        <w:rPr>
          <w:rFonts w:ascii="Trebuchet MS" w:eastAsia="Calibri" w:hAnsi="Trebuchet MS" w:cs="Calibri"/>
        </w:rPr>
        <w:t>by the use of</w:t>
      </w:r>
      <w:proofErr w:type="gramEnd"/>
      <w:r w:rsidR="467D2326" w:rsidRPr="0089166A">
        <w:rPr>
          <w:rFonts w:ascii="Trebuchet MS" w:eastAsia="Calibri" w:hAnsi="Trebuchet MS" w:cs="Calibri"/>
        </w:rPr>
        <w:t xml:space="preserve"> safe working practices and personal protective equipment including protective clothing, impermeable gloves and boots. Barrier creams, particularly of the water repellent type, are beneficial</w:t>
      </w:r>
      <w:r w:rsidR="00507F98">
        <w:rPr>
          <w:rFonts w:ascii="Trebuchet MS" w:eastAsia="Calibri" w:hAnsi="Trebuchet MS" w:cs="Calibri"/>
        </w:rPr>
        <w:t>.</w:t>
      </w:r>
      <w:r w:rsidR="467D2326" w:rsidRPr="0089166A">
        <w:rPr>
          <w:rFonts w:ascii="Trebuchet MS" w:eastAsia="Calibri" w:hAnsi="Trebuchet MS" w:cs="Calibri"/>
        </w:rPr>
        <w:t xml:space="preserve"> </w:t>
      </w:r>
      <w:r w:rsidR="00507F98">
        <w:rPr>
          <w:rFonts w:ascii="Trebuchet MS" w:eastAsia="Calibri" w:hAnsi="Trebuchet MS" w:cs="Calibri"/>
        </w:rPr>
        <w:t>I</w:t>
      </w:r>
      <w:r w:rsidR="467D2326" w:rsidRPr="0089166A">
        <w:rPr>
          <w:rFonts w:ascii="Trebuchet MS" w:eastAsia="Calibri" w:hAnsi="Trebuchet MS" w:cs="Calibri"/>
        </w:rPr>
        <w:t xml:space="preserve">mmediately after work, personnel should use a skin cleaner and wash thoroughly with soap and water. Solvents should not be used for the removal of residual bituminous binder from the skin since they may themselves cause irritation. </w:t>
      </w:r>
    </w:p>
    <w:p w14:paraId="05693031" w14:textId="289C5BF4" w:rsidR="467D2326" w:rsidRPr="0089166A" w:rsidRDefault="467D2326" w:rsidP="0089083C">
      <w:pPr>
        <w:jc w:val="both"/>
        <w:rPr>
          <w:rFonts w:ascii="Trebuchet MS" w:hAnsi="Trebuchet MS"/>
        </w:rPr>
      </w:pPr>
      <w:r w:rsidRPr="0089166A">
        <w:rPr>
          <w:rFonts w:ascii="Trebuchet MS" w:eastAsia="Calibri" w:hAnsi="Trebuchet MS" w:cs="Calibri"/>
        </w:rPr>
        <w:t xml:space="preserve">There is a requirement under EU legislation [7] to assess any release of any regulated dangerous substances to the environment in service from all construction products including bitumen emulsion bound road surfacing. However, the appropriate test methodology to be used for this purpose is still currently under consideration by the appropriate EU standardisation body and will be adopted for bitumen emulsion bound road surfacing when finalised. </w:t>
      </w:r>
    </w:p>
    <w:p w14:paraId="2636B881" w14:textId="3EF6C873" w:rsidR="4DF53C73" w:rsidRPr="0089166A" w:rsidRDefault="4DF53C73" w:rsidP="00191841">
      <w:pPr>
        <w:rPr>
          <w:rFonts w:ascii="Trebuchet MS" w:eastAsia="Calibri" w:hAnsi="Trebuchet MS" w:cs="Calibri"/>
        </w:rPr>
      </w:pPr>
    </w:p>
    <w:p w14:paraId="1C33A8B5" w14:textId="09CA820F" w:rsidR="467D2326" w:rsidRPr="0089166A" w:rsidRDefault="467D2326" w:rsidP="00191841">
      <w:pPr>
        <w:rPr>
          <w:rFonts w:ascii="Trebuchet MS" w:hAnsi="Trebuchet MS"/>
          <w:b/>
          <w:bCs/>
        </w:rPr>
      </w:pPr>
      <w:r w:rsidRPr="0089166A">
        <w:rPr>
          <w:rFonts w:ascii="Trebuchet MS" w:eastAsia="Calibri" w:hAnsi="Trebuchet MS" w:cs="Calibri"/>
          <w:b/>
          <w:bCs/>
        </w:rPr>
        <w:t xml:space="preserve">3. Transportation </w:t>
      </w:r>
    </w:p>
    <w:p w14:paraId="79988BE2" w14:textId="459DB651" w:rsidR="467D2326" w:rsidRPr="0089166A" w:rsidRDefault="467D2326" w:rsidP="00B2138C">
      <w:pPr>
        <w:jc w:val="both"/>
        <w:rPr>
          <w:rFonts w:ascii="Trebuchet MS" w:hAnsi="Trebuchet MS"/>
        </w:rPr>
      </w:pPr>
      <w:r w:rsidRPr="0089166A">
        <w:rPr>
          <w:rFonts w:ascii="Trebuchet MS" w:eastAsia="Calibri" w:hAnsi="Trebuchet MS" w:cs="Calibri"/>
        </w:rPr>
        <w:t xml:space="preserve">The Chemical Industries Association ‘Black and White’ marking scheme advice should be followed for signing of delivery vehicles, mobile storage tanks and mobile application plant [8]. </w:t>
      </w:r>
    </w:p>
    <w:p w14:paraId="59E51368" w14:textId="6F8CE687" w:rsidR="4DF53C73" w:rsidRPr="0089166A" w:rsidRDefault="4DF53C73" w:rsidP="00191841">
      <w:pPr>
        <w:rPr>
          <w:rFonts w:ascii="Trebuchet MS" w:eastAsia="Calibri" w:hAnsi="Trebuchet MS" w:cs="Calibri"/>
        </w:rPr>
      </w:pPr>
    </w:p>
    <w:p w14:paraId="397885A7" w14:textId="2E23765D" w:rsidR="467D2326" w:rsidRPr="0089166A" w:rsidRDefault="467D2326" w:rsidP="00B2138C">
      <w:pPr>
        <w:jc w:val="both"/>
        <w:rPr>
          <w:rFonts w:ascii="Trebuchet MS" w:hAnsi="Trebuchet MS"/>
          <w:b/>
          <w:bCs/>
        </w:rPr>
      </w:pPr>
      <w:r w:rsidRPr="0089166A">
        <w:rPr>
          <w:rFonts w:ascii="Trebuchet MS" w:eastAsia="Calibri" w:hAnsi="Trebuchet MS" w:cs="Calibri"/>
          <w:b/>
          <w:bCs/>
        </w:rPr>
        <w:t xml:space="preserve">4. Storage in Bulk </w:t>
      </w:r>
    </w:p>
    <w:p w14:paraId="435DA90B" w14:textId="2DA9DD3D" w:rsidR="467D2326" w:rsidRPr="0089166A" w:rsidRDefault="00507F98" w:rsidP="00B2138C">
      <w:pPr>
        <w:jc w:val="both"/>
        <w:rPr>
          <w:rFonts w:ascii="Trebuchet MS" w:hAnsi="Trebuchet MS"/>
        </w:rPr>
      </w:pPr>
      <w:r>
        <w:rPr>
          <w:rFonts w:ascii="Trebuchet MS" w:eastAsia="Calibri" w:hAnsi="Trebuchet MS" w:cs="Calibri"/>
        </w:rPr>
        <w:t xml:space="preserve">The </w:t>
      </w:r>
      <w:r w:rsidR="467D2326" w:rsidRPr="0089166A">
        <w:rPr>
          <w:rFonts w:ascii="Trebuchet MS" w:eastAsia="Calibri" w:hAnsi="Trebuchet MS" w:cs="Calibri"/>
        </w:rPr>
        <w:t>R</w:t>
      </w:r>
      <w:r>
        <w:rPr>
          <w:rFonts w:ascii="Trebuchet MS" w:eastAsia="Calibri" w:hAnsi="Trebuchet MS" w:cs="Calibri"/>
        </w:rPr>
        <w:t xml:space="preserve">oad </w:t>
      </w:r>
      <w:r w:rsidR="467D2326" w:rsidRPr="0089166A">
        <w:rPr>
          <w:rFonts w:ascii="Trebuchet MS" w:eastAsia="Calibri" w:hAnsi="Trebuchet MS" w:cs="Calibri"/>
        </w:rPr>
        <w:t>E</w:t>
      </w:r>
      <w:r>
        <w:rPr>
          <w:rFonts w:ascii="Trebuchet MS" w:eastAsia="Calibri" w:hAnsi="Trebuchet MS" w:cs="Calibri"/>
        </w:rPr>
        <w:t xml:space="preserve">mulsion </w:t>
      </w:r>
      <w:r w:rsidRPr="0089166A">
        <w:rPr>
          <w:rFonts w:ascii="Trebuchet MS" w:eastAsia="Calibri" w:hAnsi="Trebuchet MS" w:cs="Calibri"/>
        </w:rPr>
        <w:t>A</w:t>
      </w:r>
      <w:r>
        <w:rPr>
          <w:rFonts w:ascii="Trebuchet MS" w:eastAsia="Calibri" w:hAnsi="Trebuchet MS" w:cs="Calibri"/>
        </w:rPr>
        <w:t>ssociation</w:t>
      </w:r>
      <w:r w:rsidR="467D2326" w:rsidRPr="0089166A">
        <w:rPr>
          <w:rFonts w:ascii="Trebuchet MS" w:eastAsia="Calibri" w:hAnsi="Trebuchet MS" w:cs="Calibri"/>
        </w:rPr>
        <w:t xml:space="preserve"> </w:t>
      </w:r>
      <w:r w:rsidR="00FD4631" w:rsidRPr="0089166A">
        <w:rPr>
          <w:rFonts w:ascii="Trebuchet MS" w:eastAsia="Calibri" w:hAnsi="Trebuchet MS" w:cs="Calibri"/>
        </w:rPr>
        <w:t>publish</w:t>
      </w:r>
      <w:r w:rsidR="00FD4631">
        <w:rPr>
          <w:rFonts w:ascii="Trebuchet MS" w:eastAsia="Calibri" w:hAnsi="Trebuchet MS" w:cs="Calibri"/>
        </w:rPr>
        <w:t>es</w:t>
      </w:r>
      <w:r w:rsidR="467D2326" w:rsidRPr="0089166A">
        <w:rPr>
          <w:rFonts w:ascii="Trebuchet MS" w:eastAsia="Calibri" w:hAnsi="Trebuchet MS" w:cs="Calibri"/>
        </w:rPr>
        <w:t xml:space="preserve"> a Code of Good Practice for the Use and Safety of Mobile Storage Tanks [9] and the advice in this publication should be followed particularly in relation to siting, receipt of deliveries, heating</w:t>
      </w:r>
      <w:r w:rsidR="00FD4631">
        <w:rPr>
          <w:rFonts w:ascii="Trebuchet MS" w:eastAsia="Calibri" w:hAnsi="Trebuchet MS" w:cs="Calibri"/>
        </w:rPr>
        <w:t>,</w:t>
      </w:r>
      <w:r w:rsidR="467D2326" w:rsidRPr="0089166A">
        <w:rPr>
          <w:rFonts w:ascii="Trebuchet MS" w:eastAsia="Calibri" w:hAnsi="Trebuchet MS" w:cs="Calibri"/>
        </w:rPr>
        <w:t xml:space="preserve"> circulation </w:t>
      </w:r>
      <w:r w:rsidR="00FD4631">
        <w:rPr>
          <w:rFonts w:ascii="Trebuchet MS" w:eastAsia="Calibri" w:hAnsi="Trebuchet MS" w:cs="Calibri"/>
        </w:rPr>
        <w:t>and</w:t>
      </w:r>
      <w:r w:rsidR="467D2326" w:rsidRPr="0089166A">
        <w:rPr>
          <w:rFonts w:ascii="Trebuchet MS" w:eastAsia="Calibri" w:hAnsi="Trebuchet MS" w:cs="Calibri"/>
        </w:rPr>
        <w:t xml:space="preserve"> storage of bitumen emulsions. </w:t>
      </w:r>
    </w:p>
    <w:p w14:paraId="5D2386F4" w14:textId="79FFEF42" w:rsidR="4DF53C73" w:rsidRPr="0089166A" w:rsidRDefault="4DF53C73" w:rsidP="00191841">
      <w:pPr>
        <w:rPr>
          <w:rFonts w:ascii="Trebuchet MS" w:eastAsia="Calibri" w:hAnsi="Trebuchet MS" w:cs="Calibri"/>
        </w:rPr>
      </w:pPr>
    </w:p>
    <w:p w14:paraId="2859EBB9" w14:textId="29F3763D" w:rsidR="467D2326" w:rsidRPr="0089166A" w:rsidRDefault="467D2326" w:rsidP="00191841">
      <w:pPr>
        <w:rPr>
          <w:rFonts w:ascii="Trebuchet MS" w:hAnsi="Trebuchet MS"/>
          <w:b/>
          <w:bCs/>
        </w:rPr>
      </w:pPr>
      <w:r w:rsidRPr="0089166A">
        <w:rPr>
          <w:rFonts w:ascii="Trebuchet MS" w:eastAsia="Calibri" w:hAnsi="Trebuchet MS" w:cs="Calibri"/>
          <w:b/>
          <w:bCs/>
        </w:rPr>
        <w:t xml:space="preserve">5. Storage in Drums and packs </w:t>
      </w:r>
    </w:p>
    <w:p w14:paraId="180196CE" w14:textId="65D2CC55" w:rsidR="467D2326" w:rsidRPr="0089166A" w:rsidRDefault="467D2326" w:rsidP="00B2138C">
      <w:pPr>
        <w:jc w:val="both"/>
        <w:rPr>
          <w:rFonts w:ascii="Trebuchet MS" w:hAnsi="Trebuchet MS"/>
        </w:rPr>
      </w:pPr>
      <w:r w:rsidRPr="0089166A">
        <w:rPr>
          <w:rFonts w:ascii="Trebuchet MS" w:eastAsia="Calibri" w:hAnsi="Trebuchet MS" w:cs="Calibri"/>
        </w:rPr>
        <w:t>Bitumen emulsions have a limited shelf life depending on the specific formulation and storage conditions and it is important to rotate stock to ensure that older drums and packs are used first.</w:t>
      </w:r>
    </w:p>
    <w:p w14:paraId="0F7BB47D" w14:textId="11805E35" w:rsidR="467D2326" w:rsidRPr="0089166A" w:rsidRDefault="467D2326" w:rsidP="00B2138C">
      <w:pPr>
        <w:jc w:val="both"/>
        <w:rPr>
          <w:rFonts w:ascii="Trebuchet MS" w:hAnsi="Trebuchet MS"/>
        </w:rPr>
      </w:pPr>
      <w:r w:rsidRPr="0089166A">
        <w:rPr>
          <w:rFonts w:ascii="Trebuchet MS" w:eastAsia="Calibri" w:hAnsi="Trebuchet MS" w:cs="Calibri"/>
        </w:rPr>
        <w:t>Generally</w:t>
      </w:r>
      <w:r w:rsidR="00507F98">
        <w:rPr>
          <w:rFonts w:ascii="Trebuchet MS" w:eastAsia="Calibri" w:hAnsi="Trebuchet MS" w:cs="Calibri"/>
        </w:rPr>
        <w:t>,</w:t>
      </w:r>
      <w:r w:rsidRPr="0089166A">
        <w:rPr>
          <w:rFonts w:ascii="Trebuchet MS" w:eastAsia="Calibri" w:hAnsi="Trebuchet MS" w:cs="Calibri"/>
        </w:rPr>
        <w:t xml:space="preserve"> drums and packs in storage should be re-homogenised by rolling / inverting periodically to minimise any gradual separation of the bitumen phase. This should also be done immediately before use to re-homogenise any separation that may have occurred. Drums and packs should be protected from frost </w:t>
      </w:r>
      <w:proofErr w:type="gramStart"/>
      <w:r w:rsidRPr="0089166A">
        <w:rPr>
          <w:rFonts w:ascii="Trebuchet MS" w:eastAsia="Calibri" w:hAnsi="Trebuchet MS" w:cs="Calibri"/>
        </w:rPr>
        <w:t>and also</w:t>
      </w:r>
      <w:proofErr w:type="gramEnd"/>
      <w:r w:rsidRPr="0089166A">
        <w:rPr>
          <w:rFonts w:ascii="Trebuchet MS" w:eastAsia="Calibri" w:hAnsi="Trebuchet MS" w:cs="Calibri"/>
        </w:rPr>
        <w:t xml:space="preserve"> high temperatures, which could cause pressurisation of the container. </w:t>
      </w:r>
    </w:p>
    <w:p w14:paraId="1762100F" w14:textId="1C0556AE" w:rsidR="00874C9E" w:rsidRDefault="00874C9E">
      <w:pPr>
        <w:rPr>
          <w:rFonts w:ascii="Trebuchet MS" w:eastAsia="Calibri" w:hAnsi="Trebuchet MS" w:cs="Calibri"/>
          <w:b/>
          <w:bCs/>
        </w:rPr>
      </w:pPr>
    </w:p>
    <w:p w14:paraId="2AEFDD3D" w14:textId="74FC8AB4" w:rsidR="467D2326" w:rsidRPr="0089166A" w:rsidRDefault="467D2326" w:rsidP="00191841">
      <w:pPr>
        <w:rPr>
          <w:rFonts w:ascii="Trebuchet MS" w:hAnsi="Trebuchet MS"/>
          <w:b/>
          <w:bCs/>
        </w:rPr>
      </w:pPr>
      <w:r w:rsidRPr="0089166A">
        <w:rPr>
          <w:rFonts w:ascii="Trebuchet MS" w:eastAsia="Calibri" w:hAnsi="Trebuchet MS" w:cs="Calibri"/>
          <w:b/>
          <w:bCs/>
        </w:rPr>
        <w:t xml:space="preserve">6. Waste Disposal </w:t>
      </w:r>
    </w:p>
    <w:p w14:paraId="60A5C0B9" w14:textId="1F534E47" w:rsidR="467D2326" w:rsidRPr="0089166A" w:rsidRDefault="467D2326" w:rsidP="00B2138C">
      <w:pPr>
        <w:jc w:val="both"/>
        <w:rPr>
          <w:rFonts w:ascii="Trebuchet MS" w:hAnsi="Trebuchet MS"/>
        </w:rPr>
      </w:pPr>
      <w:r w:rsidRPr="0089166A">
        <w:rPr>
          <w:rFonts w:ascii="Trebuchet MS" w:eastAsia="Calibri" w:hAnsi="Trebuchet MS" w:cs="Calibri"/>
        </w:rPr>
        <w:t xml:space="preserve">Depending on the formulation, bitumen emulsions and the container they have been stored in may be classified as either non-hazardous or hazardous waste and both must be disposed of in compliance with relevant legislation. Reference should be made to the supplier’s Material Safety Data Sheet for detailed information. </w:t>
      </w:r>
    </w:p>
    <w:p w14:paraId="0DB31742" w14:textId="475913A0" w:rsidR="4DF53C73" w:rsidRPr="0089166A" w:rsidRDefault="4DF53C73" w:rsidP="00191841">
      <w:pPr>
        <w:rPr>
          <w:rFonts w:ascii="Trebuchet MS" w:eastAsia="Calibri" w:hAnsi="Trebuchet MS" w:cs="Calibri"/>
        </w:rPr>
      </w:pPr>
    </w:p>
    <w:p w14:paraId="2E6BA069" w14:textId="0D1298A5" w:rsidR="467D2326" w:rsidRPr="0089166A" w:rsidRDefault="467D2326" w:rsidP="00191841">
      <w:pPr>
        <w:rPr>
          <w:rFonts w:ascii="Trebuchet MS" w:hAnsi="Trebuchet MS"/>
          <w:b/>
          <w:bCs/>
          <w:i/>
          <w:iCs/>
        </w:rPr>
      </w:pPr>
      <w:r w:rsidRPr="0089166A">
        <w:rPr>
          <w:rFonts w:ascii="Trebuchet MS" w:eastAsia="Calibri" w:hAnsi="Trebuchet MS" w:cs="Calibri"/>
          <w:b/>
          <w:bCs/>
          <w:i/>
          <w:iCs/>
        </w:rPr>
        <w:t xml:space="preserve">References </w:t>
      </w:r>
    </w:p>
    <w:p w14:paraId="471BA829" w14:textId="52CFF5AB" w:rsidR="467D2326" w:rsidRPr="0089166A" w:rsidRDefault="467D2326" w:rsidP="00B2138C">
      <w:pPr>
        <w:jc w:val="both"/>
        <w:rPr>
          <w:rFonts w:ascii="Trebuchet MS" w:hAnsi="Trebuchet MS"/>
        </w:rPr>
      </w:pPr>
      <w:r w:rsidRPr="0089166A">
        <w:rPr>
          <w:rFonts w:ascii="Trebuchet MS" w:eastAsia="Calibri" w:hAnsi="Trebuchet MS" w:cs="Calibri"/>
        </w:rPr>
        <w:t>[1] BS EN 12597</w:t>
      </w:r>
      <w:r w:rsidR="00F35233">
        <w:rPr>
          <w:rFonts w:ascii="Trebuchet MS" w:eastAsia="Calibri" w:hAnsi="Trebuchet MS" w:cs="Calibri"/>
        </w:rPr>
        <w:t>:20</w:t>
      </w:r>
      <w:r w:rsidR="00072AC6">
        <w:rPr>
          <w:rFonts w:ascii="Trebuchet MS" w:eastAsia="Calibri" w:hAnsi="Trebuchet MS" w:cs="Calibri"/>
        </w:rPr>
        <w:t>2</w:t>
      </w:r>
      <w:r w:rsidR="00F35233">
        <w:rPr>
          <w:rFonts w:ascii="Trebuchet MS" w:eastAsia="Calibri" w:hAnsi="Trebuchet MS" w:cs="Calibri"/>
        </w:rPr>
        <w:t>4</w:t>
      </w:r>
      <w:r w:rsidRPr="0089166A">
        <w:rPr>
          <w:rFonts w:ascii="Trebuchet MS" w:eastAsia="Calibri" w:hAnsi="Trebuchet MS" w:cs="Calibri"/>
        </w:rPr>
        <w:t xml:space="preserve"> Bitumen and bituminous binders - Terminology </w:t>
      </w:r>
    </w:p>
    <w:p w14:paraId="5C033A8D" w14:textId="46290FFF" w:rsidR="467D2326" w:rsidRPr="0089166A" w:rsidRDefault="467D2326" w:rsidP="00B2138C">
      <w:pPr>
        <w:jc w:val="both"/>
        <w:rPr>
          <w:rFonts w:ascii="Trebuchet MS" w:hAnsi="Trebuchet MS"/>
        </w:rPr>
      </w:pPr>
      <w:r w:rsidRPr="0089166A">
        <w:rPr>
          <w:rFonts w:ascii="Trebuchet MS" w:eastAsia="Calibri" w:hAnsi="Trebuchet MS" w:cs="Calibri"/>
        </w:rPr>
        <w:t>[2] BS EN 13808</w:t>
      </w:r>
      <w:r w:rsidR="00B8410F">
        <w:rPr>
          <w:rFonts w:ascii="Trebuchet MS" w:eastAsia="Calibri" w:hAnsi="Trebuchet MS" w:cs="Calibri"/>
        </w:rPr>
        <w:t>:2013</w:t>
      </w:r>
      <w:r w:rsidRPr="0089166A">
        <w:rPr>
          <w:rFonts w:ascii="Trebuchet MS" w:eastAsia="Calibri" w:hAnsi="Trebuchet MS" w:cs="Calibri"/>
        </w:rPr>
        <w:t xml:space="preserve"> Bitumen and bituminous binders - Framework for specifying cationic bitumen emulsions </w:t>
      </w:r>
    </w:p>
    <w:p w14:paraId="2F8B265D" w14:textId="0745C29F" w:rsidR="467D2326" w:rsidRPr="0089166A" w:rsidRDefault="467D2326" w:rsidP="00B2138C">
      <w:pPr>
        <w:jc w:val="both"/>
        <w:rPr>
          <w:rFonts w:ascii="Trebuchet MS" w:hAnsi="Trebuchet MS"/>
        </w:rPr>
      </w:pPr>
      <w:r w:rsidRPr="0089166A">
        <w:rPr>
          <w:rFonts w:ascii="Trebuchet MS" w:eastAsia="Calibri" w:hAnsi="Trebuchet MS" w:cs="Calibri"/>
        </w:rPr>
        <w:t xml:space="preserve">[3] </w:t>
      </w:r>
      <w:r w:rsidR="00C56921" w:rsidRPr="00C56921">
        <w:rPr>
          <w:rFonts w:ascii="Trebuchet MS" w:eastAsia="Calibri" w:hAnsi="Trebuchet MS" w:cs="Calibri"/>
        </w:rPr>
        <w:t>BS 434-1:2011+A1:2016</w:t>
      </w:r>
      <w:r w:rsidRPr="0089166A">
        <w:rPr>
          <w:rFonts w:ascii="Trebuchet MS" w:eastAsia="Calibri" w:hAnsi="Trebuchet MS" w:cs="Calibri"/>
        </w:rPr>
        <w:t xml:space="preserve"> Bitumen road emulsions </w:t>
      </w:r>
      <w:r w:rsidR="00C56921">
        <w:rPr>
          <w:rFonts w:ascii="Trebuchet MS" w:eastAsia="Calibri" w:hAnsi="Trebuchet MS" w:cs="Calibri"/>
        </w:rPr>
        <w:t>-</w:t>
      </w:r>
      <w:r w:rsidRPr="0089166A">
        <w:rPr>
          <w:rFonts w:ascii="Trebuchet MS" w:eastAsia="Calibri" w:hAnsi="Trebuchet MS" w:cs="Calibri"/>
        </w:rPr>
        <w:t xml:space="preserve"> Specification for anionic bitumen road emulsions </w:t>
      </w:r>
    </w:p>
    <w:p w14:paraId="6E1C9510" w14:textId="5DA2611C" w:rsidR="467D2326" w:rsidRPr="0089166A" w:rsidRDefault="467D2326" w:rsidP="00B2138C">
      <w:pPr>
        <w:jc w:val="both"/>
        <w:rPr>
          <w:rFonts w:ascii="Trebuchet MS" w:hAnsi="Trebuchet MS"/>
        </w:rPr>
      </w:pPr>
      <w:r w:rsidRPr="0089166A">
        <w:rPr>
          <w:rFonts w:ascii="Trebuchet MS" w:eastAsia="Calibri" w:hAnsi="Trebuchet MS" w:cs="Calibri"/>
        </w:rPr>
        <w:t xml:space="preserve">[4] www.eurobitume.eu/hse </w:t>
      </w:r>
    </w:p>
    <w:p w14:paraId="3D900996" w14:textId="09ACD2FE" w:rsidR="467D2326" w:rsidRPr="0089166A" w:rsidRDefault="467D2326" w:rsidP="00B2138C">
      <w:pPr>
        <w:jc w:val="both"/>
        <w:rPr>
          <w:rFonts w:ascii="Trebuchet MS" w:hAnsi="Trebuchet MS"/>
        </w:rPr>
      </w:pPr>
      <w:r w:rsidRPr="0089166A">
        <w:rPr>
          <w:rFonts w:ascii="Trebuchet MS" w:eastAsia="Calibri" w:hAnsi="Trebuchet MS" w:cs="Calibri"/>
        </w:rPr>
        <w:t xml:space="preserve">[5] EC1907/2006 Registration, Evaluation, Authorisation and Restriction of Chemical Substances </w:t>
      </w:r>
    </w:p>
    <w:p w14:paraId="24A14DFE" w14:textId="35DEE0F6" w:rsidR="467D2326" w:rsidRPr="0089166A" w:rsidRDefault="467D2326" w:rsidP="00B2138C">
      <w:pPr>
        <w:jc w:val="both"/>
        <w:rPr>
          <w:rFonts w:ascii="Trebuchet MS" w:hAnsi="Trebuchet MS"/>
        </w:rPr>
      </w:pPr>
      <w:r w:rsidRPr="0089166A">
        <w:rPr>
          <w:rFonts w:ascii="Trebuchet MS" w:eastAsia="Calibri" w:hAnsi="Trebuchet MS" w:cs="Calibri"/>
        </w:rPr>
        <w:t xml:space="preserve">[6] European Bitumen Association: Notes for Guidance of First Aid and Medical Personnel </w:t>
      </w:r>
    </w:p>
    <w:p w14:paraId="7566792D" w14:textId="62AFCC63" w:rsidR="467D2326" w:rsidRPr="0089166A" w:rsidRDefault="467D2326" w:rsidP="00B2138C">
      <w:pPr>
        <w:jc w:val="both"/>
        <w:rPr>
          <w:rFonts w:ascii="Trebuchet MS" w:hAnsi="Trebuchet MS"/>
        </w:rPr>
      </w:pPr>
      <w:r w:rsidRPr="0089166A">
        <w:rPr>
          <w:rFonts w:ascii="Trebuchet MS" w:eastAsia="Calibri" w:hAnsi="Trebuchet MS" w:cs="Calibri"/>
        </w:rPr>
        <w:t xml:space="preserve">[7] 305/2011/EU Construction Products Regulation 3 </w:t>
      </w:r>
    </w:p>
    <w:p w14:paraId="3C416BF0" w14:textId="3376D302" w:rsidR="467D2326" w:rsidRPr="0089166A" w:rsidRDefault="467D2326" w:rsidP="00B2138C">
      <w:pPr>
        <w:jc w:val="both"/>
        <w:rPr>
          <w:rFonts w:ascii="Trebuchet MS" w:hAnsi="Trebuchet MS"/>
        </w:rPr>
      </w:pPr>
      <w:r w:rsidRPr="0089166A">
        <w:rPr>
          <w:rFonts w:ascii="Trebuchet MS" w:eastAsia="Calibri" w:hAnsi="Trebuchet MS" w:cs="Calibri"/>
        </w:rPr>
        <w:t xml:space="preserve">[8] Chemical Industries Association: Road Tankers Black and White Marking Scheme ISBN 1 85897 097 0 </w:t>
      </w:r>
    </w:p>
    <w:p w14:paraId="47A4D02C" w14:textId="630D82E6" w:rsidR="467D2326" w:rsidRPr="0089166A" w:rsidRDefault="467D2326" w:rsidP="00B2138C">
      <w:pPr>
        <w:jc w:val="both"/>
        <w:rPr>
          <w:rFonts w:ascii="Trebuchet MS" w:hAnsi="Trebuchet MS"/>
        </w:rPr>
      </w:pPr>
      <w:r w:rsidRPr="0089166A">
        <w:rPr>
          <w:rFonts w:ascii="Trebuchet MS" w:eastAsia="Calibri" w:hAnsi="Trebuchet MS" w:cs="Calibri"/>
        </w:rPr>
        <w:t xml:space="preserve">[9] Road Emulsion Association: Code of Good Practice for the Use and Safety of Mobile Storage Tanks </w:t>
      </w:r>
    </w:p>
    <w:p w14:paraId="2F14F240" w14:textId="5C6050AC" w:rsidR="4DF53C73" w:rsidRPr="0089166A" w:rsidRDefault="4DF53C73" w:rsidP="00B2138C">
      <w:pPr>
        <w:jc w:val="both"/>
        <w:rPr>
          <w:rFonts w:ascii="Trebuchet MS" w:eastAsia="Calibri" w:hAnsi="Trebuchet MS" w:cs="Calibri"/>
        </w:rPr>
      </w:pPr>
    </w:p>
    <w:p w14:paraId="237D38B7" w14:textId="6E73D01E" w:rsidR="0089166A" w:rsidRPr="00E6609C" w:rsidRDefault="467D2326" w:rsidP="00191841">
      <w:pPr>
        <w:rPr>
          <w:rFonts w:ascii="Trebuchet MS" w:eastAsia="Calibri" w:hAnsi="Trebuchet MS" w:cs="Calibri"/>
          <w:b/>
          <w:bCs/>
        </w:rPr>
      </w:pPr>
      <w:r w:rsidRPr="00E6609C">
        <w:rPr>
          <w:rFonts w:ascii="Trebuchet MS" w:eastAsia="Calibri" w:hAnsi="Trebuchet MS" w:cs="Calibri"/>
          <w:b/>
          <w:bCs/>
        </w:rPr>
        <w:t xml:space="preserve">For further information on all REA Technical Data sheets please look on the “Technical Datasheets” webpage on </w:t>
      </w:r>
      <w:hyperlink r:id="rId11" w:history="1">
        <w:r w:rsidR="0089166A" w:rsidRPr="00E6609C">
          <w:rPr>
            <w:rStyle w:val="Hyperlink"/>
            <w:rFonts w:ascii="Trebuchet MS" w:eastAsia="Calibri" w:hAnsi="Trebuchet MS" w:cs="Calibri"/>
            <w:b/>
            <w:bCs/>
          </w:rPr>
          <w:t>www.rea.org.uk</w:t>
        </w:r>
      </w:hyperlink>
    </w:p>
    <w:p w14:paraId="6EDE5FC8" w14:textId="461DBD20" w:rsidR="467D2326" w:rsidRPr="0089166A" w:rsidRDefault="467D2326" w:rsidP="00191841">
      <w:pPr>
        <w:rPr>
          <w:rFonts w:ascii="Trebuchet MS" w:hAnsi="Trebuchet MS"/>
          <w:i/>
          <w:iCs/>
        </w:rPr>
      </w:pPr>
      <w:r w:rsidRPr="0089166A">
        <w:rPr>
          <w:rFonts w:ascii="Trebuchet MS" w:eastAsia="Calibri" w:hAnsi="Trebuchet MS" w:cs="Calibri"/>
          <w:i/>
          <w:iCs/>
        </w:rPr>
        <w:t xml:space="preserve">Whilst every care is taken to ensure the accuracy of the general advice offered by the Road Emulsion Association, no liability or responsibility of any kind can be accepted by the </w:t>
      </w:r>
      <w:r w:rsidR="00191841" w:rsidRPr="0089166A">
        <w:rPr>
          <w:rFonts w:ascii="Trebuchet MS" w:eastAsia="Calibri" w:hAnsi="Trebuchet MS" w:cs="Calibri"/>
          <w:i/>
          <w:iCs/>
        </w:rPr>
        <w:t>Association.</w:t>
      </w:r>
    </w:p>
    <w:sectPr w:rsidR="467D2326" w:rsidRPr="0089166A">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CBEE" w14:textId="77777777" w:rsidR="00056A96" w:rsidRDefault="00056A96" w:rsidP="001F324D">
      <w:pPr>
        <w:spacing w:after="0" w:line="240" w:lineRule="auto"/>
      </w:pPr>
      <w:r>
        <w:separator/>
      </w:r>
    </w:p>
  </w:endnote>
  <w:endnote w:type="continuationSeparator" w:id="0">
    <w:p w14:paraId="5F49DF13" w14:textId="77777777" w:rsidR="00056A96" w:rsidRDefault="00056A96" w:rsidP="001F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F9E5" w14:textId="703FABBD" w:rsidR="001F324D" w:rsidRDefault="001F324D">
    <w:pPr>
      <w:pStyle w:val="Footer"/>
    </w:pPr>
    <w:r>
      <w:rPr>
        <w:noProof/>
      </w:rPr>
      <mc:AlternateContent>
        <mc:Choice Requires="wps">
          <w:drawing>
            <wp:anchor distT="0" distB="0" distL="0" distR="0" simplePos="0" relativeHeight="251658240" behindDoc="0" locked="0" layoutInCell="1" allowOverlap="1" wp14:anchorId="55AC5983" wp14:editId="541F8702">
              <wp:simplePos x="635" y="635"/>
              <wp:positionH relativeFrom="page">
                <wp:align>center</wp:align>
              </wp:positionH>
              <wp:positionV relativeFrom="page">
                <wp:align>bottom</wp:align>
              </wp:positionV>
              <wp:extent cx="4411980" cy="347980"/>
              <wp:effectExtent l="0" t="0" r="7620" b="0"/>
              <wp:wrapNone/>
              <wp:docPr id="831246919" name="Text Box 2"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1D521ECD" w14:textId="7274649A" w:rsidR="001F324D" w:rsidRPr="001F324D" w:rsidRDefault="001F324D" w:rsidP="001F324D">
                          <w:pPr>
                            <w:spacing w:after="0"/>
                            <w:rPr>
                              <w:rFonts w:ascii="Arial" w:eastAsia="Arial" w:hAnsi="Arial" w:cs="Arial"/>
                              <w:noProof/>
                              <w:color w:val="29CF00"/>
                              <w:sz w:val="20"/>
                              <w:szCs w:val="20"/>
                            </w:rPr>
                          </w:pPr>
                          <w:r w:rsidRPr="001F324D">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C5983" id="_x0000_t202" coordsize="21600,21600" o:spt="202" path="m,l,21600r21600,l21600,xe">
              <v:stroke joinstyle="miter"/>
              <v:path gradientshapeok="t" o:connecttype="rect"/>
            </v:shapetype>
            <v:shape id="Text Box 2" o:spid="_x0000_s1026" type="#_x0000_t202" alt="C2 - COLAS GROUP INTERNAL: Employees and partners who need to know." style="position:absolute;margin-left:0;margin-top:0;width:347.4pt;height:27.4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KCQIAABYEAAAOAAAAZHJzL2Uyb0RvYy54bWysU01v2zAMvQ/YfxB0X2x32dYacYqsRYYB&#10;QVsgHXpWZCk2IImCpMTOfv0o2U66bqdhF/mZpPjx+LS47bUiR+F8C6aixSynRBgOdWv2Ff3xvP5w&#10;TYkPzNRMgREVPQlPb5fv3y06W4oraEDVwhFMYnzZ2Yo2IdgyyzxvhGZ+BlYYdEpwmgX8dfusdqzD&#10;7FplV3n+OevA1dYBF96j9X5w0mXKL6Xg4VFKLwJRFcXeQjpdOnfxzJYLVu4ds03LxzbYP3ShWWuw&#10;6DnVPQuMHFz7RyrdcgceZJhx0BlI2XKRZsBpivzNNNuGWZFmQXK8PdPk/19a/nDc2idHQv8Velxg&#10;JKSzvvRojPP00un4xU4J+pHC05k20QfC0TifF8XNNbo4+j7Ov0SMabLLbet8+CZAkwgq6nAtiS12&#10;3PgwhE4hsZiBdatUWo0yvxkwZ7RklxYjCv2uH/veQX3CcRwMm/aWr1usuWE+PDGHq8U2Ua7hEQ+p&#10;oKsojIiSBtzPv9ljPDKOXko6lEpFDWqZEvXd4CaiqibgJrBLoLjJP+XoNwd9ByjAAt+C5Qmi1QU1&#10;QelAv6CQV7EQupjhWK6iuwnehUGz+BC4WK1SEArIsrAxW8tj6shTJPG5f2HOjkwH3NEDTDpi5RvC&#10;h9h409vVISDtaRuR04HIkWoUX9rn+FCiul//p6jLc17+AgAA//8DAFBLAwQUAAYACAAAACEAVsZF&#10;ZdoAAAAEAQAADwAAAGRycy9kb3ducmV2LnhtbEyPQU/DMAyF70j8h8hI3FjKBtNWmk5oEqchpG1c&#10;uHmJ1xYap2rSrfv3GC5wsWW9p+fvFavRt+pEfWwCG7ifZKCIbXANVwbe9y93C1AxITtsA5OBC0VY&#10;lddXBeYunHlLp12qlIRwzNFAnVKXax1tTR7jJHTEoh1D7zHJ2Vfa9XiWcN/qaZbNtceG5UONHa1r&#10;sl+7wRt43KbX4Y33s49xevncdGs7O26sMbc34/MTqERj+jPDD76gQylMhzCwi6o1IEXS7xRtvnyQ&#10;GgcJlq3LQv+HL78BAAD//wMAUEsBAi0AFAAGAAgAAAAhALaDOJL+AAAA4QEAABMAAAAAAAAAAAAA&#10;AAAAAAAAAFtDb250ZW50X1R5cGVzXS54bWxQSwECLQAUAAYACAAAACEAOP0h/9YAAACUAQAACwAA&#10;AAAAAAAAAAAAAAAvAQAAX3JlbHMvLnJlbHNQSwECLQAUAAYACAAAACEAZEtgSgkCAAAWBAAADgAA&#10;AAAAAAAAAAAAAAAuAgAAZHJzL2Uyb0RvYy54bWxQSwECLQAUAAYACAAAACEAVsZFZdoAAAAEAQAA&#10;DwAAAAAAAAAAAAAAAABjBAAAZHJzL2Rvd25yZXYueG1sUEsFBgAAAAAEAAQA8wAAAGoFAAAAAA==&#10;" filled="f" stroked="f">
              <v:fill o:detectmouseclick="t"/>
              <v:textbox style="mso-fit-shape-to-text:t" inset="0,0,0,15pt">
                <w:txbxContent>
                  <w:p w14:paraId="1D521ECD" w14:textId="7274649A" w:rsidR="001F324D" w:rsidRPr="001F324D" w:rsidRDefault="001F324D" w:rsidP="001F324D">
                    <w:pPr>
                      <w:spacing w:after="0"/>
                      <w:rPr>
                        <w:rFonts w:ascii="Arial" w:eastAsia="Arial" w:hAnsi="Arial" w:cs="Arial"/>
                        <w:noProof/>
                        <w:color w:val="29CF00"/>
                        <w:sz w:val="20"/>
                        <w:szCs w:val="20"/>
                      </w:rPr>
                    </w:pPr>
                    <w:r w:rsidRPr="001F324D">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7E98" w14:textId="6EA8F3F8" w:rsidR="001F324D" w:rsidRDefault="001F324D">
    <w:pPr>
      <w:pStyle w:val="Footer"/>
    </w:pPr>
    <w:r>
      <w:rPr>
        <w:noProof/>
      </w:rPr>
      <mc:AlternateContent>
        <mc:Choice Requires="wps">
          <w:drawing>
            <wp:anchor distT="0" distB="0" distL="0" distR="0" simplePos="0" relativeHeight="251658241" behindDoc="0" locked="0" layoutInCell="1" allowOverlap="1" wp14:anchorId="62A46814" wp14:editId="33B38367">
              <wp:simplePos x="635" y="635"/>
              <wp:positionH relativeFrom="page">
                <wp:align>center</wp:align>
              </wp:positionH>
              <wp:positionV relativeFrom="page">
                <wp:align>bottom</wp:align>
              </wp:positionV>
              <wp:extent cx="4411980" cy="347980"/>
              <wp:effectExtent l="0" t="0" r="7620" b="0"/>
              <wp:wrapNone/>
              <wp:docPr id="1345574581" name="Text Box 3"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17E04926" w14:textId="1262E75D" w:rsidR="001F324D" w:rsidRPr="001F324D" w:rsidRDefault="001F324D" w:rsidP="001F324D">
                          <w:pPr>
                            <w:spacing w:after="0"/>
                            <w:rPr>
                              <w:rFonts w:ascii="Arial" w:eastAsia="Arial" w:hAnsi="Arial" w:cs="Arial"/>
                              <w:noProof/>
                              <w:color w:val="29CF00"/>
                              <w:sz w:val="20"/>
                              <w:szCs w:val="20"/>
                            </w:rPr>
                          </w:pPr>
                          <w:r w:rsidRPr="001F324D">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46814" id="_x0000_t202" coordsize="21600,21600" o:spt="202" path="m,l,21600r21600,l21600,xe">
              <v:stroke joinstyle="miter"/>
              <v:path gradientshapeok="t" o:connecttype="rect"/>
            </v:shapetype>
            <v:shape id="Text Box 3" o:spid="_x0000_s1027" type="#_x0000_t202" alt="C2 - COLAS GROUP INTERNAL: Employees and partners who need to know." style="position:absolute;margin-left:0;margin-top:0;width:347.4pt;height:27.4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cXDAIAAB0EAAAOAAAAZHJzL2Uyb0RvYy54bWysU01v2zAMvQ/YfxB0X2x32dYacYqsRYYB&#10;QVsgHXqWZSk2IImCpMTOfv0oOU66bqdhF/mZpPjx+LS4HbQiB+F8B6aixSynRBgOTWd2Ff3xvP5w&#10;TYkPzDRMgREVPQpPb5fv3y16W4oraEE1whFMYnzZ24q2IdgyyzxvhWZ+BlYYdEpwmgX8dbuscazH&#10;7FplV3n+OevBNdYBF96j9X500mXKL6Xg4VFKLwJRFcXeQjpdOut4ZssFK3eO2bbjpzbYP3ShWWew&#10;6DnVPQuM7F33RyrdcQceZJhx0BlI2XGRZsBpivzNNNuWWZFmQXK8PdPk/19a/nDY2idHwvAVBlxg&#10;JKS3vvRojPMM0un4xU4J+pHC45k2MQTC0TifF8XNNbo4+j7Ov0SMabLLbet8+CZAkwgq6nAtiS12&#10;2Pgwhk4hsZiBdadUWo0yvxkwZ7RklxYjCkM9kK551X4NzRGncjAu3Fu+7rD0hvnwxBxuGLtF1YZH&#10;PKSCvqJwQpS04H7+zR7jkXj0UtKjYipqUNKUqO8GFxLFNQE3gTqB4ib/lKPf7PUdoA4LfBKWJ4hW&#10;F9QEpQP9gnpexULoYoZjuYrWE7wLo3TxPXCxWqUg1JFlYWO2lsfUka7I5fPwwpw9ER5wVQ8wyYmV&#10;b3gfY+NNb1f7gOynpURqRyJPjKMG01pP7yWK/PV/irq86uUvAAAA//8DAFBLAwQUAAYACAAAACEA&#10;VsZFZdoAAAAEAQAADwAAAGRycy9kb3ducmV2LnhtbEyPQU/DMAyF70j8h8hI3FjKBtNWmk5oEqch&#10;pG1cuHmJ1xYap2rSrfv3GC5wsWW9p+fvFavRt+pEfWwCG7ifZKCIbXANVwbe9y93C1AxITtsA5OB&#10;C0VYlddXBeYunHlLp12qlIRwzNFAnVKXax1tTR7jJHTEoh1D7zHJ2Vfa9XiWcN/qaZbNtceG5UON&#10;Ha1rsl+7wRt43KbX4Y33s49xevncdGs7O26sMbc34/MTqERj+jPDD76gQylMhzCwi6o1IEXS7xRt&#10;vnyQGgcJlq3LQv+HL78BAAD//wMAUEsBAi0AFAAGAAgAAAAhALaDOJL+AAAA4QEAABMAAAAAAAAA&#10;AAAAAAAAAAAAAFtDb250ZW50X1R5cGVzXS54bWxQSwECLQAUAAYACAAAACEAOP0h/9YAAACUAQAA&#10;CwAAAAAAAAAAAAAAAAAvAQAAX3JlbHMvLnJlbHNQSwECLQAUAAYACAAAACEA4senFwwCAAAdBAAA&#10;DgAAAAAAAAAAAAAAAAAuAgAAZHJzL2Uyb0RvYy54bWxQSwECLQAUAAYACAAAACEAVsZFZdoAAAAE&#10;AQAADwAAAAAAAAAAAAAAAABmBAAAZHJzL2Rvd25yZXYueG1sUEsFBgAAAAAEAAQA8wAAAG0FAAAA&#10;AA==&#10;" filled="f" stroked="f">
              <v:fill o:detectmouseclick="t"/>
              <v:textbox style="mso-fit-shape-to-text:t" inset="0,0,0,15pt">
                <w:txbxContent>
                  <w:p w14:paraId="17E04926" w14:textId="1262E75D" w:rsidR="001F324D" w:rsidRPr="001F324D" w:rsidRDefault="001F324D" w:rsidP="001F324D">
                    <w:pPr>
                      <w:spacing w:after="0"/>
                      <w:rPr>
                        <w:rFonts w:ascii="Arial" w:eastAsia="Arial" w:hAnsi="Arial" w:cs="Arial"/>
                        <w:noProof/>
                        <w:color w:val="29CF00"/>
                        <w:sz w:val="20"/>
                        <w:szCs w:val="20"/>
                      </w:rPr>
                    </w:pPr>
                    <w:r w:rsidRPr="001F324D">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B307F" w14:textId="1F26A469" w:rsidR="001F324D" w:rsidRDefault="001F324D">
    <w:pPr>
      <w:pStyle w:val="Footer"/>
    </w:pPr>
    <w:r>
      <w:rPr>
        <w:noProof/>
      </w:rPr>
      <mc:AlternateContent>
        <mc:Choice Requires="wps">
          <w:drawing>
            <wp:anchor distT="0" distB="0" distL="0" distR="0" simplePos="0" relativeHeight="251658242" behindDoc="0" locked="0" layoutInCell="1" allowOverlap="1" wp14:anchorId="287E1588" wp14:editId="79326C8B">
              <wp:simplePos x="635" y="635"/>
              <wp:positionH relativeFrom="page">
                <wp:align>center</wp:align>
              </wp:positionH>
              <wp:positionV relativeFrom="page">
                <wp:align>bottom</wp:align>
              </wp:positionV>
              <wp:extent cx="4411980" cy="347980"/>
              <wp:effectExtent l="0" t="0" r="7620" b="0"/>
              <wp:wrapNone/>
              <wp:docPr id="1714872397" name="Text Box 1" descr="C2 - COLAS GROUP INTERNAL: Employees and partners who need to kn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11980" cy="347980"/>
                      </a:xfrm>
                      <a:prstGeom prst="rect">
                        <a:avLst/>
                      </a:prstGeom>
                      <a:noFill/>
                      <a:ln>
                        <a:noFill/>
                      </a:ln>
                    </wps:spPr>
                    <wps:txbx>
                      <w:txbxContent>
                        <w:p w14:paraId="17C3662B" w14:textId="3E334DC6" w:rsidR="001F324D" w:rsidRPr="001F324D" w:rsidRDefault="001F324D" w:rsidP="001F324D">
                          <w:pPr>
                            <w:spacing w:after="0"/>
                            <w:rPr>
                              <w:rFonts w:ascii="Arial" w:eastAsia="Arial" w:hAnsi="Arial" w:cs="Arial"/>
                              <w:noProof/>
                              <w:color w:val="29CF00"/>
                              <w:sz w:val="20"/>
                              <w:szCs w:val="20"/>
                            </w:rPr>
                          </w:pPr>
                          <w:r w:rsidRPr="001F324D">
                            <w:rPr>
                              <w:rFonts w:ascii="Arial" w:eastAsia="Arial" w:hAnsi="Arial" w:cs="Arial"/>
                              <w:noProof/>
                              <w:color w:val="29CF00"/>
                              <w:sz w:val="20"/>
                              <w:szCs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E1588" id="_x0000_t202" coordsize="21600,21600" o:spt="202" path="m,l,21600r21600,l21600,xe">
              <v:stroke joinstyle="miter"/>
              <v:path gradientshapeok="t" o:connecttype="rect"/>
            </v:shapetype>
            <v:shape id="Text Box 1" o:spid="_x0000_s1028" type="#_x0000_t202" alt="C2 - COLAS GROUP INTERNAL: Employees and partners who need to know." style="position:absolute;margin-left:0;margin-top:0;width:347.4pt;height:27.4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BRDgIAAB0EAAAOAAAAZHJzL2Uyb0RvYy54bWysU01v2zAMvQ/YfxB0X2xn2dYacYqsRYYB&#10;QVsgHXpWZCk2IImCpMTOfv0oOU66rqdiF/mZpPjx+DS/6bUiB+F8C6aixSSnRBgOdWt2Ff31tPp0&#10;RYkPzNRMgREVPQpPbxYfP8w7W4opNKBq4QgmMb7sbEWbEGyZZZ43QjM/ASsMOiU4zQL+ul1WO9Zh&#10;dq2yaZ5/zTpwtXXAhfdovRucdJHySyl4eJDSi0BURbG3kE6Xzm08s8WclTvHbNPyUxvsHV1o1hos&#10;ek51xwIje9f+k0q33IEHGSYcdAZStlykGXCaIn81zaZhVqRZkBxvzzT5/5eW3x829tGR0H+HHhcY&#10;CemsLz0a4zy9dDp+sVOCfqTweKZN9IFwNM5mRXF9hS6Ovs+zbxFjmuxy2zoffgjQJIKKOlxLYosd&#10;1j4MoWNILGZg1SqVVqPMXwbMGS3ZpcWIQr/tSVtXdDq2v4X6iFM5GBbuLV+1WHrNfHhkDjeM3aJq&#10;wwMeUkFXUTghShpwv9+yx3gkHr2UdKiYihqUNCXqp8GFRHGNwI1gm0BxnX/J0W/2+hZQhwU+CcsT&#10;RKsLaoTSgX5GPS9jIXQxw7FcRbcjvA2DdPE9cLFcpiDUkWVhbTaWx9SRrsjlU//MnD0RHnBV9zDK&#10;iZWveB9i401vl/uA7KelRGoHIk+MowbTWk/vJYr85X+KurzqxR8AAAD//wMAUEsDBBQABgAIAAAA&#10;IQBWxkVl2gAAAAQBAAAPAAAAZHJzL2Rvd25yZXYueG1sTI9BT8MwDIXvSPyHyEjcWMoG01aaTmgS&#10;pyGkbVy4eYnXFhqnatKt+/cYLnCxZb2n5+8Vq9G36kR9bAIbuJ9koIhtcA1XBt73L3cLUDEhO2wD&#10;k4ELRViV11cF5i6ceUunXaqUhHDM0UCdUpdrHW1NHuMkdMSiHUPvMcnZV9r1eJZw3+ppls21x4bl&#10;Q40drWuyX7vBG3jcptfhjfezj3F6+dx0azs7bqwxtzfj8xOoRGP6M8MPvqBDKUyHMLCLqjUgRdLv&#10;FG2+fJAaBwmWrctC/4cvvwEAAP//AwBQSwECLQAUAAYACAAAACEAtoM4kv4AAADhAQAAEwAAAAAA&#10;AAAAAAAAAAAAAAAAW0NvbnRlbnRfVHlwZXNdLnhtbFBLAQItABQABgAIAAAAIQA4/SH/1gAAAJQB&#10;AAALAAAAAAAAAAAAAAAAAC8BAABfcmVscy8ucmVsc1BLAQItABQABgAIAAAAIQBVBnBRDgIAAB0E&#10;AAAOAAAAAAAAAAAAAAAAAC4CAABkcnMvZTJvRG9jLnhtbFBLAQItABQABgAIAAAAIQBWxkVl2gAA&#10;AAQBAAAPAAAAAAAAAAAAAAAAAGgEAABkcnMvZG93bnJldi54bWxQSwUGAAAAAAQABADzAAAAbwUA&#10;AAAA&#10;" filled="f" stroked="f">
              <v:fill o:detectmouseclick="t"/>
              <v:textbox style="mso-fit-shape-to-text:t" inset="0,0,0,15pt">
                <w:txbxContent>
                  <w:p w14:paraId="17C3662B" w14:textId="3E334DC6" w:rsidR="001F324D" w:rsidRPr="001F324D" w:rsidRDefault="001F324D" w:rsidP="001F324D">
                    <w:pPr>
                      <w:spacing w:after="0"/>
                      <w:rPr>
                        <w:rFonts w:ascii="Arial" w:eastAsia="Arial" w:hAnsi="Arial" w:cs="Arial"/>
                        <w:noProof/>
                        <w:color w:val="29CF00"/>
                        <w:sz w:val="20"/>
                        <w:szCs w:val="20"/>
                      </w:rPr>
                    </w:pPr>
                    <w:r w:rsidRPr="001F324D">
                      <w:rPr>
                        <w:rFonts w:ascii="Arial" w:eastAsia="Arial" w:hAnsi="Arial" w:cs="Arial"/>
                        <w:noProof/>
                        <w:color w:val="29CF00"/>
                        <w:sz w:val="20"/>
                        <w:szCs w:val="20"/>
                      </w:rPr>
                      <w:t>C2 - COLAS GROUP INTERNAL: Employees and partners who need to know.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01E9" w14:textId="77777777" w:rsidR="00056A96" w:rsidRDefault="00056A96" w:rsidP="001F324D">
      <w:pPr>
        <w:spacing w:after="0" w:line="240" w:lineRule="auto"/>
      </w:pPr>
      <w:r>
        <w:separator/>
      </w:r>
    </w:p>
  </w:footnote>
  <w:footnote w:type="continuationSeparator" w:id="0">
    <w:p w14:paraId="37A7C83F" w14:textId="77777777" w:rsidR="00056A96" w:rsidRDefault="00056A96" w:rsidP="001F3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8F"/>
    <w:rsid w:val="00056A96"/>
    <w:rsid w:val="00072AC6"/>
    <w:rsid w:val="000819BA"/>
    <w:rsid w:val="00087153"/>
    <w:rsid w:val="00101B1C"/>
    <w:rsid w:val="00191841"/>
    <w:rsid w:val="001C3908"/>
    <w:rsid w:val="001F324D"/>
    <w:rsid w:val="003316F4"/>
    <w:rsid w:val="00384B80"/>
    <w:rsid w:val="00384E92"/>
    <w:rsid w:val="003F4273"/>
    <w:rsid w:val="00443FD5"/>
    <w:rsid w:val="00507F98"/>
    <w:rsid w:val="00517BAD"/>
    <w:rsid w:val="006D2DAF"/>
    <w:rsid w:val="008140E4"/>
    <w:rsid w:val="00874C9E"/>
    <w:rsid w:val="0089083C"/>
    <w:rsid w:val="0089166A"/>
    <w:rsid w:val="00992A23"/>
    <w:rsid w:val="009B3D8F"/>
    <w:rsid w:val="009E30B0"/>
    <w:rsid w:val="00A4765B"/>
    <w:rsid w:val="00B2138C"/>
    <w:rsid w:val="00B8410F"/>
    <w:rsid w:val="00BE71EB"/>
    <w:rsid w:val="00C56921"/>
    <w:rsid w:val="00D16C3F"/>
    <w:rsid w:val="00D17EFE"/>
    <w:rsid w:val="00E62C5A"/>
    <w:rsid w:val="00E6609C"/>
    <w:rsid w:val="00E9496B"/>
    <w:rsid w:val="00F26C4E"/>
    <w:rsid w:val="00F35233"/>
    <w:rsid w:val="00F5218E"/>
    <w:rsid w:val="00FD4631"/>
    <w:rsid w:val="01F5D9B3"/>
    <w:rsid w:val="0353BE38"/>
    <w:rsid w:val="0A3445C9"/>
    <w:rsid w:val="0E57BBF8"/>
    <w:rsid w:val="15D3E8CC"/>
    <w:rsid w:val="19A25C25"/>
    <w:rsid w:val="1E75CD48"/>
    <w:rsid w:val="3DE0DF11"/>
    <w:rsid w:val="43A81327"/>
    <w:rsid w:val="43C6ED89"/>
    <w:rsid w:val="467D2326"/>
    <w:rsid w:val="48290DA8"/>
    <w:rsid w:val="4DF53C73"/>
    <w:rsid w:val="5839B964"/>
    <w:rsid w:val="5F6283CB"/>
    <w:rsid w:val="62274F83"/>
    <w:rsid w:val="68969107"/>
    <w:rsid w:val="71744FFC"/>
    <w:rsid w:val="75F57D7F"/>
    <w:rsid w:val="7FF69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3A45"/>
  <w15:chartTrackingRefBased/>
  <w15:docId w15:val="{7F98790E-4E1F-4174-BE99-4A8A84CB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D8F"/>
    <w:rPr>
      <w:color w:val="0563C1" w:themeColor="hyperlink"/>
      <w:u w:val="single"/>
    </w:rPr>
  </w:style>
  <w:style w:type="character" w:styleId="UnresolvedMention">
    <w:name w:val="Unresolved Mention"/>
    <w:basedOn w:val="DefaultParagraphFont"/>
    <w:uiPriority w:val="99"/>
    <w:semiHidden/>
    <w:unhideWhenUsed/>
    <w:rsid w:val="009B3D8F"/>
    <w:rPr>
      <w:color w:val="605E5C"/>
      <w:shd w:val="clear" w:color="auto" w:fill="E1DFDD"/>
    </w:rPr>
  </w:style>
  <w:style w:type="paragraph" w:customStyle="1" w:styleId="TableParagraph">
    <w:name w:val="Table Paragraph"/>
    <w:basedOn w:val="Normal"/>
    <w:uiPriority w:val="1"/>
    <w:qFormat/>
    <w:rsid w:val="003F4273"/>
    <w:pPr>
      <w:widowControl w:val="0"/>
      <w:autoSpaceDE w:val="0"/>
      <w:autoSpaceDN w:val="0"/>
      <w:spacing w:after="0" w:line="240" w:lineRule="auto"/>
      <w:ind w:left="107"/>
    </w:pPr>
    <w:rPr>
      <w:rFonts w:ascii="Trebuchet MS" w:eastAsia="Trebuchet MS" w:hAnsi="Trebuchet MS" w:cs="Trebuchet MS"/>
      <w:lang w:val="en-US"/>
    </w:rPr>
  </w:style>
  <w:style w:type="paragraph" w:styleId="Footer">
    <w:name w:val="footer"/>
    <w:basedOn w:val="Normal"/>
    <w:link w:val="FooterChar"/>
    <w:uiPriority w:val="99"/>
    <w:unhideWhenUsed/>
    <w:rsid w:val="001F3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24D"/>
  </w:style>
  <w:style w:type="paragraph" w:styleId="Header">
    <w:name w:val="header"/>
    <w:basedOn w:val="Normal"/>
    <w:link w:val="HeaderChar"/>
    <w:uiPriority w:val="99"/>
    <w:semiHidden/>
    <w:unhideWhenUsed/>
    <w:rsid w:val="008140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8A4B2-6697-48B0-AF21-FB2E49BAE78B}">
  <ds:schemaRefs>
    <ds:schemaRef ds:uri="http://schemas.microsoft.com/office/2006/metadata/properties"/>
    <ds:schemaRef ds:uri="http://schemas.microsoft.com/office/infopath/2007/PartnerControls"/>
    <ds:schemaRef ds:uri="3bfd5da4-30ba-4d88-98e1-963edc390054"/>
  </ds:schemaRefs>
</ds:datastoreItem>
</file>

<file path=customXml/itemProps2.xml><?xml version="1.0" encoding="utf-8"?>
<ds:datastoreItem xmlns:ds="http://schemas.openxmlformats.org/officeDocument/2006/customXml" ds:itemID="{521B92E3-0791-488D-931E-89BEE1319333}">
  <ds:schemaRefs>
    <ds:schemaRef ds:uri="http://schemas.microsoft.com/sharepoint/v3/contenttype/forms"/>
  </ds:schemaRefs>
</ds:datastoreItem>
</file>

<file path=customXml/itemProps3.xml><?xml version="1.0" encoding="utf-8"?>
<ds:datastoreItem xmlns:ds="http://schemas.openxmlformats.org/officeDocument/2006/customXml" ds:itemID="{3D31126E-B72A-41E2-BEB6-776BF793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3</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CADEL, Paul (Colas Ltd)</dc:creator>
  <cp:keywords/>
  <dc:description/>
  <cp:lastModifiedBy>CADEL, Paul (Colas Ltd)</cp:lastModifiedBy>
  <cp:revision>34</cp:revision>
  <dcterms:created xsi:type="dcterms:W3CDTF">2023-05-01T14:08:00Z</dcterms:created>
  <dcterms:modified xsi:type="dcterms:W3CDTF">2025-07-29T09:50:00Z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2023-05-01T14:08:05Z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cb8b7e0d-241e-4348-aa7e-8f6097b64fa9</vt:lpwstr>
  </property>
  <property fmtid="{D5CDD505-2E9C-101B-9397-08002B2CF9AE}" pid="8" name="MSIP_Label_06b95ba9-d50e-4074-b623-0a9711dc916f_ContentBits">
    <vt:lpwstr>0</vt:lpwstr>
  </property>
  <property fmtid="{D5CDD505-2E9C-101B-9397-08002B2CF9AE}" pid="9" name="ContentTypeId">
    <vt:lpwstr>0x01010016B7E44D7653474F8062AD9B52C46E58</vt:lpwstr>
  </property>
  <property fmtid="{D5CDD505-2E9C-101B-9397-08002B2CF9AE}" pid="10" name="ClassificationContentMarkingFooterShapeIds">
    <vt:lpwstr>6636e04d,318bd247,5033d6b5</vt:lpwstr>
  </property>
  <property fmtid="{D5CDD505-2E9C-101B-9397-08002B2CF9AE}" pid="11" name="ClassificationContentMarkingFooterFontProps">
    <vt:lpwstr>#29cf00,10,Arial</vt:lpwstr>
  </property>
  <property fmtid="{D5CDD505-2E9C-101B-9397-08002B2CF9AE}" pid="12" name="ClassificationContentMarkingFooterText">
    <vt:lpwstr>C2 - COLAS GROUP INTERNAL: Employees and partners who need to know.</vt:lpwstr>
  </property>
</Properties>
</file>