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8"/>
        <w:gridCol w:w="5943"/>
      </w:tblGrid>
      <w:tr w:rsidR="00206E3F" w14:paraId="41191A7A" w14:textId="77777777" w:rsidTr="00682B2A">
        <w:trPr>
          <w:trHeight w:val="1506"/>
        </w:trPr>
        <w:tc>
          <w:tcPr>
            <w:tcW w:w="2988" w:type="dxa"/>
          </w:tcPr>
          <w:p w14:paraId="411AE3E6" w14:textId="77777777" w:rsidR="00206E3F" w:rsidRDefault="00206E3F" w:rsidP="00DD72F1">
            <w:pPr>
              <w:pStyle w:val="TableParagraph"/>
              <w:spacing w:before="1"/>
              <w:ind w:left="0"/>
              <w:rPr>
                <w:rFonts w:ascii="Times New Roman"/>
                <w:sz w:val="7"/>
              </w:rPr>
            </w:pPr>
          </w:p>
          <w:p w14:paraId="3FA5B583" w14:textId="77777777" w:rsidR="00206E3F" w:rsidRDefault="00206E3F" w:rsidP="00DD72F1">
            <w:pPr>
              <w:pStyle w:val="TableParagraph"/>
              <w:ind w:left="158"/>
              <w:rPr>
                <w:rFonts w:ascii="Times New Roman"/>
                <w:sz w:val="20"/>
              </w:rPr>
            </w:pPr>
            <w:r>
              <w:rPr>
                <w:rFonts w:ascii="Times New Roman"/>
                <w:noProof/>
                <w:sz w:val="20"/>
              </w:rPr>
              <w:drawing>
                <wp:inline distT="0" distB="0" distL="0" distR="0" wp14:anchorId="7B198B2A" wp14:editId="1DFCCA17">
                  <wp:extent cx="1614030" cy="595883"/>
                  <wp:effectExtent l="0" t="0" r="0" b="0"/>
                  <wp:docPr id="1" name="image1.png" descr="A picture containing font, text, graphics, g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picture containing font, text, graphics, green&#10;&#10;Description automatically generated"/>
                          <pic:cNvPicPr/>
                        </pic:nvPicPr>
                        <pic:blipFill>
                          <a:blip r:embed="rId10" cstate="print"/>
                          <a:stretch>
                            <a:fillRect/>
                          </a:stretch>
                        </pic:blipFill>
                        <pic:spPr>
                          <a:xfrm>
                            <a:off x="0" y="0"/>
                            <a:ext cx="1614030" cy="595883"/>
                          </a:xfrm>
                          <a:prstGeom prst="rect">
                            <a:avLst/>
                          </a:prstGeom>
                        </pic:spPr>
                      </pic:pic>
                    </a:graphicData>
                  </a:graphic>
                </wp:inline>
              </w:drawing>
            </w:r>
          </w:p>
        </w:tc>
        <w:tc>
          <w:tcPr>
            <w:tcW w:w="5943" w:type="dxa"/>
          </w:tcPr>
          <w:p w14:paraId="4740C7FE" w14:textId="77777777" w:rsidR="00875EB4" w:rsidRPr="00254E67" w:rsidRDefault="00206E3F" w:rsidP="00254E67">
            <w:pPr>
              <w:pStyle w:val="TableParagraph"/>
              <w:spacing w:before="11" w:line="256" w:lineRule="auto"/>
              <w:ind w:left="0" w:right="1483"/>
              <w:rPr>
                <w:b/>
                <w:sz w:val="32"/>
              </w:rPr>
            </w:pPr>
            <w:r w:rsidRPr="00254E67">
              <w:rPr>
                <w:b/>
                <w:sz w:val="32"/>
              </w:rPr>
              <w:t>Technical Data Sheet No.</w:t>
            </w:r>
            <w:r w:rsidR="00875EB4" w:rsidRPr="00254E67">
              <w:rPr>
                <w:b/>
                <w:sz w:val="32"/>
              </w:rPr>
              <w:t>7</w:t>
            </w:r>
            <w:r w:rsidRPr="00254E67">
              <w:rPr>
                <w:b/>
                <w:sz w:val="32"/>
              </w:rPr>
              <w:t xml:space="preserve"> </w:t>
            </w:r>
          </w:p>
          <w:p w14:paraId="53313CF4" w14:textId="59A5C343" w:rsidR="00206E3F" w:rsidRPr="00C558B4" w:rsidRDefault="00875EB4" w:rsidP="00682B2A">
            <w:pPr>
              <w:pStyle w:val="NoSpacing"/>
              <w:rPr>
                <w:rFonts w:ascii="Trebuchet MS" w:eastAsia="Trebuchet MS" w:hAnsi="Trebuchet MS" w:cs="Trebuchet MS"/>
                <w:b/>
                <w:color w:val="87BE2A"/>
                <w:sz w:val="32"/>
                <w:lang w:val="en-US"/>
              </w:rPr>
            </w:pPr>
            <w:r w:rsidRPr="00C558B4">
              <w:rPr>
                <w:rFonts w:ascii="Trebuchet MS" w:eastAsia="Trebuchet MS" w:hAnsi="Trebuchet MS" w:cs="Trebuchet MS"/>
                <w:b/>
                <w:color w:val="87BE2A"/>
                <w:sz w:val="32"/>
                <w:lang w:val="en-US"/>
              </w:rPr>
              <w:t>Footway Maintenance and Construction Using Bitumen Emulsions</w:t>
            </w:r>
          </w:p>
          <w:p w14:paraId="22FC38BB" w14:textId="58E9538F" w:rsidR="00206E3F" w:rsidRPr="00682B2A" w:rsidRDefault="00206E3F" w:rsidP="00ED6B22">
            <w:pPr>
              <w:pStyle w:val="TableParagraph"/>
              <w:spacing w:line="232" w:lineRule="exact"/>
              <w:ind w:left="0"/>
              <w:rPr>
                <w:sz w:val="20"/>
              </w:rPr>
            </w:pPr>
            <w:r w:rsidRPr="00682B2A">
              <w:rPr>
                <w:sz w:val="20"/>
              </w:rPr>
              <w:t>Revised</w:t>
            </w:r>
            <w:r w:rsidRPr="00ED6B22">
              <w:rPr>
                <w:sz w:val="20"/>
              </w:rPr>
              <w:t xml:space="preserve"> </w:t>
            </w:r>
            <w:r w:rsidRPr="00682B2A">
              <w:rPr>
                <w:sz w:val="20"/>
              </w:rPr>
              <w:t>by</w:t>
            </w:r>
            <w:r w:rsidRPr="00ED6B22">
              <w:rPr>
                <w:sz w:val="20"/>
              </w:rPr>
              <w:t xml:space="preserve"> </w:t>
            </w:r>
            <w:r w:rsidRPr="00682B2A">
              <w:rPr>
                <w:sz w:val="20"/>
              </w:rPr>
              <w:t>the</w:t>
            </w:r>
            <w:r w:rsidRPr="00ED6B22">
              <w:rPr>
                <w:sz w:val="20"/>
              </w:rPr>
              <w:t xml:space="preserve"> </w:t>
            </w:r>
            <w:r w:rsidRPr="00682B2A">
              <w:rPr>
                <w:sz w:val="20"/>
              </w:rPr>
              <w:t>Association’s</w:t>
            </w:r>
            <w:r w:rsidRPr="00ED6B22">
              <w:rPr>
                <w:sz w:val="20"/>
              </w:rPr>
              <w:t xml:space="preserve"> </w:t>
            </w:r>
            <w:r w:rsidRPr="00682B2A">
              <w:rPr>
                <w:sz w:val="20"/>
              </w:rPr>
              <w:t>Technical</w:t>
            </w:r>
            <w:r w:rsidRPr="00ED6B22">
              <w:rPr>
                <w:sz w:val="20"/>
              </w:rPr>
              <w:t xml:space="preserve"> </w:t>
            </w:r>
            <w:r w:rsidRPr="00682B2A">
              <w:rPr>
                <w:sz w:val="20"/>
              </w:rPr>
              <w:t>Committee</w:t>
            </w:r>
            <w:r w:rsidRPr="00ED6B22">
              <w:rPr>
                <w:sz w:val="20"/>
              </w:rPr>
              <w:t xml:space="preserve"> </w:t>
            </w:r>
            <w:r w:rsidRPr="00682B2A">
              <w:rPr>
                <w:sz w:val="20"/>
              </w:rPr>
              <w:t>-</w:t>
            </w:r>
            <w:r w:rsidRPr="00ED6B22">
              <w:rPr>
                <w:sz w:val="20"/>
              </w:rPr>
              <w:t xml:space="preserve"> </w:t>
            </w:r>
            <w:r w:rsidR="004B2183">
              <w:rPr>
                <w:sz w:val="20"/>
              </w:rPr>
              <w:t>August</w:t>
            </w:r>
            <w:r w:rsidRPr="00682B2A">
              <w:rPr>
                <w:sz w:val="20"/>
              </w:rPr>
              <w:t xml:space="preserve"> 202</w:t>
            </w:r>
            <w:r w:rsidR="000029FC">
              <w:rPr>
                <w:sz w:val="20"/>
              </w:rPr>
              <w:t>5</w:t>
            </w:r>
          </w:p>
        </w:tc>
      </w:tr>
    </w:tbl>
    <w:p w14:paraId="030F3863" w14:textId="77777777" w:rsidR="009B3D8F" w:rsidRDefault="009B3D8F" w:rsidP="009B3D8F"/>
    <w:p w14:paraId="4801759A" w14:textId="77777777" w:rsidR="009B3D8F" w:rsidRPr="00682B2A" w:rsidRDefault="009B3D8F" w:rsidP="009B3D8F">
      <w:pPr>
        <w:jc w:val="both"/>
        <w:rPr>
          <w:rFonts w:ascii="Trebuchet MS" w:hAnsi="Trebuchet MS"/>
          <w:b/>
          <w:bCs/>
        </w:rPr>
      </w:pPr>
      <w:r w:rsidRPr="00682B2A">
        <w:rPr>
          <w:rFonts w:ascii="Trebuchet MS" w:hAnsi="Trebuchet MS"/>
          <w:b/>
          <w:bCs/>
        </w:rPr>
        <w:t>1. Introduction</w:t>
      </w:r>
    </w:p>
    <w:p w14:paraId="52110446" w14:textId="753BF125" w:rsidR="009B3D8F" w:rsidRPr="00682B2A" w:rsidRDefault="009B3D8F" w:rsidP="004B6AA6">
      <w:pPr>
        <w:jc w:val="both"/>
        <w:rPr>
          <w:rFonts w:ascii="Trebuchet MS" w:hAnsi="Trebuchet MS"/>
        </w:rPr>
      </w:pPr>
      <w:r w:rsidRPr="00682B2A">
        <w:rPr>
          <w:rFonts w:ascii="Trebuchet MS" w:hAnsi="Trebuchet MS"/>
        </w:rPr>
        <w:t>Footways generally carry a lighter loading than carriageways in comparable locations. However, appreciable strength of structure and surface properties are required to withstand the stresses generated by the cross-over of vehicles to access properties or by parked vehicles.</w:t>
      </w:r>
    </w:p>
    <w:p w14:paraId="162A65F0" w14:textId="1F17E7C6" w:rsidR="009B3D8F" w:rsidRPr="00682B2A" w:rsidRDefault="009B3D8F" w:rsidP="004B6AA6">
      <w:pPr>
        <w:jc w:val="both"/>
        <w:rPr>
          <w:rFonts w:ascii="Trebuchet MS" w:hAnsi="Trebuchet MS"/>
        </w:rPr>
      </w:pPr>
      <w:r w:rsidRPr="00682B2A">
        <w:rPr>
          <w:rFonts w:ascii="Trebuchet MS" w:hAnsi="Trebuchet MS"/>
        </w:rPr>
        <w:t>Walkways in urban areas must have adequate stability to high point loading and severe surface stresses. In rural situations an important requirement is for a sound base proofed against the ingress of moisture. However, whatever the situation the quality of construction and level of maintenance significantly affect</w:t>
      </w:r>
      <w:r w:rsidR="002E35A1">
        <w:rPr>
          <w:rFonts w:ascii="Trebuchet MS" w:hAnsi="Trebuchet MS"/>
        </w:rPr>
        <w:t>s</w:t>
      </w:r>
      <w:r w:rsidRPr="00682B2A">
        <w:rPr>
          <w:rFonts w:ascii="Trebuchet MS" w:hAnsi="Trebuchet MS"/>
        </w:rPr>
        <w:t xml:space="preserve"> the </w:t>
      </w:r>
      <w:proofErr w:type="gramStart"/>
      <w:r w:rsidRPr="00682B2A">
        <w:rPr>
          <w:rFonts w:ascii="Trebuchet MS" w:hAnsi="Trebuchet MS"/>
        </w:rPr>
        <w:t>long term</w:t>
      </w:r>
      <w:proofErr w:type="gramEnd"/>
      <w:r w:rsidRPr="00682B2A">
        <w:rPr>
          <w:rFonts w:ascii="Trebuchet MS" w:hAnsi="Trebuchet MS"/>
        </w:rPr>
        <w:t xml:space="preserve"> durability and serviceable life of a footway. Bitumen emulsions fulfil a vital role in all aspects of footway construction and maintenance from the initial sealing of freshly cut formations to the surface treatment of heavily stressed areas.</w:t>
      </w:r>
    </w:p>
    <w:p w14:paraId="621647D3" w14:textId="77777777" w:rsidR="009B3D8F" w:rsidRPr="00682B2A" w:rsidRDefault="009B3D8F" w:rsidP="009B3D8F">
      <w:pPr>
        <w:jc w:val="both"/>
        <w:rPr>
          <w:rFonts w:ascii="Trebuchet MS" w:hAnsi="Trebuchet MS"/>
        </w:rPr>
      </w:pPr>
    </w:p>
    <w:p w14:paraId="73957510" w14:textId="133E8F90" w:rsidR="009B3D8F" w:rsidRPr="00682B2A" w:rsidRDefault="009B3D8F" w:rsidP="009B3D8F">
      <w:pPr>
        <w:jc w:val="both"/>
        <w:rPr>
          <w:rFonts w:ascii="Trebuchet MS" w:hAnsi="Trebuchet MS"/>
          <w:b/>
          <w:bCs/>
        </w:rPr>
      </w:pPr>
      <w:r w:rsidRPr="00682B2A">
        <w:rPr>
          <w:rFonts w:ascii="Trebuchet MS" w:hAnsi="Trebuchet MS"/>
          <w:b/>
          <w:bCs/>
        </w:rPr>
        <w:t>2. Footway Maintenance</w:t>
      </w:r>
    </w:p>
    <w:p w14:paraId="47B8CE97" w14:textId="201F9043" w:rsidR="009B3D8F" w:rsidRPr="00682B2A" w:rsidRDefault="009B3D8F" w:rsidP="004B6AA6">
      <w:pPr>
        <w:jc w:val="both"/>
        <w:rPr>
          <w:rFonts w:ascii="Trebuchet MS" w:hAnsi="Trebuchet MS"/>
        </w:rPr>
      </w:pPr>
      <w:r w:rsidRPr="00682B2A">
        <w:rPr>
          <w:rFonts w:ascii="Trebuchet MS" w:hAnsi="Trebuchet MS"/>
        </w:rPr>
        <w:t xml:space="preserve">Where the shape is </w:t>
      </w:r>
      <w:r w:rsidR="00DA50F3" w:rsidRPr="00682B2A">
        <w:rPr>
          <w:rFonts w:ascii="Trebuchet MS" w:hAnsi="Trebuchet MS"/>
        </w:rPr>
        <w:t>satisfactory,</w:t>
      </w:r>
      <w:r w:rsidRPr="00682B2A">
        <w:rPr>
          <w:rFonts w:ascii="Trebuchet MS" w:hAnsi="Trebuchet MS"/>
        </w:rPr>
        <w:t xml:space="preserve"> but the surface is slippery or in danger of imminent breakup, surface dressing or slurry surfacing may be employed as a remedial treatment.</w:t>
      </w:r>
    </w:p>
    <w:p w14:paraId="17DA405D" w14:textId="0BCE528E" w:rsidR="009B3D8F" w:rsidRPr="00682B2A" w:rsidRDefault="009B3D8F" w:rsidP="009B3D8F">
      <w:pPr>
        <w:jc w:val="both"/>
        <w:rPr>
          <w:rFonts w:ascii="Trebuchet MS" w:hAnsi="Trebuchet MS"/>
          <w:b/>
          <w:bCs/>
        </w:rPr>
      </w:pPr>
      <w:r w:rsidRPr="00682B2A">
        <w:rPr>
          <w:rFonts w:ascii="Trebuchet MS" w:hAnsi="Trebuchet MS"/>
          <w:b/>
          <w:bCs/>
        </w:rPr>
        <w:t>2.1 Surface Dressing</w:t>
      </w:r>
    </w:p>
    <w:p w14:paraId="1D6678C6" w14:textId="4BC5D468" w:rsidR="009B3D8F" w:rsidRPr="00682B2A" w:rsidRDefault="009B3D8F" w:rsidP="004B6AA6">
      <w:pPr>
        <w:jc w:val="both"/>
        <w:rPr>
          <w:rFonts w:ascii="Trebuchet MS" w:hAnsi="Trebuchet MS"/>
        </w:rPr>
      </w:pPr>
      <w:r w:rsidRPr="00682B2A">
        <w:rPr>
          <w:rFonts w:ascii="Trebuchet MS" w:hAnsi="Trebuchet MS"/>
        </w:rPr>
        <w:t xml:space="preserve">Emulsion classes C69B3 or C69BF3, or proprietary footway surface dressing binders are recommended for this surface treatment to seal and/or restore surface texture. It is also proven to be a very effective method of restoring uniformity to an otherwise heavily patched surface. Road Note 39 [1] contains a specific design section on surface dressing for footways and cycleways and should be referred to for specific design criteria. </w:t>
      </w:r>
      <w:proofErr w:type="gramStart"/>
      <w:r w:rsidRPr="00682B2A">
        <w:rPr>
          <w:rFonts w:ascii="Trebuchet MS" w:hAnsi="Trebuchet MS"/>
        </w:rPr>
        <w:t>As a general rule</w:t>
      </w:r>
      <w:proofErr w:type="gramEnd"/>
      <w:r w:rsidRPr="00682B2A">
        <w:rPr>
          <w:rFonts w:ascii="Trebuchet MS" w:hAnsi="Trebuchet MS"/>
        </w:rPr>
        <w:t xml:space="preserve"> emulsion application rates vary between 1.3 l/m² and 1.8 l/m² when 2.8/6.3 or 2/4mm chippings are used. </w:t>
      </w:r>
    </w:p>
    <w:p w14:paraId="62E1B48C" w14:textId="77C562CF" w:rsidR="009B3D8F" w:rsidRPr="00682B2A" w:rsidRDefault="009B3D8F" w:rsidP="004B6AA6">
      <w:pPr>
        <w:jc w:val="both"/>
        <w:rPr>
          <w:rFonts w:ascii="Trebuchet MS" w:hAnsi="Trebuchet MS"/>
        </w:rPr>
      </w:pPr>
      <w:r w:rsidRPr="00682B2A">
        <w:rPr>
          <w:rFonts w:ascii="Trebuchet MS" w:hAnsi="Trebuchet MS"/>
        </w:rPr>
        <w:t xml:space="preserve">Over the years, increasing amounts of footway surface dressing has occurred on urban sites, where resistance to bleeding in hot weather and resistance to chippings turning due to surface stresses from traffic cross over points and power steering is required. For this </w:t>
      </w:r>
      <w:r w:rsidR="00DA50F3" w:rsidRPr="00682B2A">
        <w:rPr>
          <w:rFonts w:ascii="Trebuchet MS" w:hAnsi="Trebuchet MS"/>
        </w:rPr>
        <w:t>reason,</w:t>
      </w:r>
      <w:r w:rsidRPr="00682B2A">
        <w:rPr>
          <w:rFonts w:ascii="Trebuchet MS" w:hAnsi="Trebuchet MS"/>
        </w:rPr>
        <w:t xml:space="preserve"> polymer modified emulsion binders are now extensively used in these areas. The success of these dressings depends not only on the specific design criteria employed, but also on control of application. Of particular importance is the application equipment, which must be able to accurately and evenly dispense the binder at the design rate. The need to keep stray binder off fences, walls, kerbstones etc, by use of appropriate masking or specialised application techniques is very importan</w:t>
      </w:r>
      <w:r w:rsidR="00FF27A6">
        <w:rPr>
          <w:rFonts w:ascii="Trebuchet MS" w:hAnsi="Trebuchet MS"/>
        </w:rPr>
        <w:t>t</w:t>
      </w:r>
      <w:r w:rsidRPr="00682B2A">
        <w:rPr>
          <w:rFonts w:ascii="Trebuchet MS" w:hAnsi="Trebuchet MS"/>
        </w:rPr>
        <w:t xml:space="preserve"> to the success of the installation.</w:t>
      </w:r>
    </w:p>
    <w:p w14:paraId="07D83E8C" w14:textId="39770068" w:rsidR="009B3D8F" w:rsidRPr="00682B2A" w:rsidRDefault="009B3D8F" w:rsidP="009B3D8F">
      <w:pPr>
        <w:jc w:val="both"/>
        <w:rPr>
          <w:rFonts w:ascii="Trebuchet MS" w:hAnsi="Trebuchet MS"/>
          <w:b/>
          <w:bCs/>
        </w:rPr>
      </w:pPr>
      <w:r w:rsidRPr="00682B2A">
        <w:rPr>
          <w:rFonts w:ascii="Trebuchet MS" w:hAnsi="Trebuchet MS"/>
          <w:b/>
          <w:bCs/>
        </w:rPr>
        <w:t>2.2 Slurry Surfacing</w:t>
      </w:r>
    </w:p>
    <w:p w14:paraId="665DE3EF" w14:textId="72829D42" w:rsidR="009B3D8F" w:rsidRPr="00682B2A" w:rsidRDefault="009B3D8F" w:rsidP="00BC44F0">
      <w:pPr>
        <w:jc w:val="both"/>
        <w:rPr>
          <w:rFonts w:ascii="Trebuchet MS" w:hAnsi="Trebuchet MS"/>
        </w:rPr>
      </w:pPr>
      <w:r w:rsidRPr="00682B2A">
        <w:rPr>
          <w:rFonts w:ascii="Trebuchet MS" w:hAnsi="Trebuchet MS"/>
        </w:rPr>
        <w:t xml:space="preserve">Slurry surfacing is composed of fine aggregate and bitumen emulsion in slurry form, which seals cracks, arrests fretting, fills minor depressions and voids and provides a more even and slip-resistant wearing surface. Both slow setting and rapid setting slurries are available </w:t>
      </w:r>
      <w:r w:rsidRPr="00682B2A">
        <w:rPr>
          <w:rFonts w:ascii="Trebuchet MS" w:hAnsi="Trebuchet MS"/>
        </w:rPr>
        <w:lastRenderedPageBreak/>
        <w:t>to satisfy varying site and ambient conditions. These materials are generally unmodified bitumen emulsions for footways such as C60B</w:t>
      </w:r>
      <w:r w:rsidR="00FF27A6">
        <w:rPr>
          <w:rFonts w:ascii="Trebuchet MS" w:hAnsi="Trebuchet MS"/>
        </w:rPr>
        <w:t xml:space="preserve">4, </w:t>
      </w:r>
      <w:r w:rsidR="1B5E4E55" w:rsidRPr="00682B2A">
        <w:rPr>
          <w:rFonts w:ascii="Trebuchet MS" w:hAnsi="Trebuchet MS"/>
        </w:rPr>
        <w:t>B60B5</w:t>
      </w:r>
      <w:r w:rsidR="00FF27A6">
        <w:rPr>
          <w:rFonts w:ascii="Trebuchet MS" w:hAnsi="Trebuchet MS"/>
        </w:rPr>
        <w:t xml:space="preserve">, </w:t>
      </w:r>
      <w:r w:rsidR="63E341B3" w:rsidRPr="00682B2A">
        <w:rPr>
          <w:rFonts w:ascii="Trebuchet MS" w:hAnsi="Trebuchet MS"/>
        </w:rPr>
        <w:t>C60BF4 or B60BF5</w:t>
      </w:r>
      <w:r w:rsidRPr="00682B2A">
        <w:rPr>
          <w:rFonts w:ascii="Trebuchet MS" w:hAnsi="Trebuchet MS"/>
        </w:rPr>
        <w:t xml:space="preserve"> although proprietary polymer modified emulsions are increasingly used. It should always be remembered that the finished slurry is a mix </w:t>
      </w:r>
      <w:r w:rsidR="005D48E0">
        <w:rPr>
          <w:rFonts w:ascii="Trebuchet MS" w:hAnsi="Trebuchet MS"/>
        </w:rPr>
        <w:t>of</w:t>
      </w:r>
      <w:r w:rsidRPr="00682B2A">
        <w:rPr>
          <w:rFonts w:ascii="Trebuchet MS" w:hAnsi="Trebuchet MS"/>
        </w:rPr>
        <w:t xml:space="preserve"> </w:t>
      </w:r>
      <w:r w:rsidR="005D48E0">
        <w:rPr>
          <w:rFonts w:ascii="Trebuchet MS" w:hAnsi="Trebuchet MS"/>
        </w:rPr>
        <w:t>emulsion</w:t>
      </w:r>
      <w:r w:rsidR="00D75C99">
        <w:rPr>
          <w:rFonts w:ascii="Trebuchet MS" w:hAnsi="Trebuchet MS"/>
        </w:rPr>
        <w:t>,</w:t>
      </w:r>
      <w:r w:rsidR="005D48E0">
        <w:rPr>
          <w:rFonts w:ascii="Trebuchet MS" w:hAnsi="Trebuchet MS"/>
        </w:rPr>
        <w:t xml:space="preserve"> </w:t>
      </w:r>
      <w:r w:rsidRPr="00682B2A">
        <w:rPr>
          <w:rFonts w:ascii="Trebuchet MS" w:hAnsi="Trebuchet MS"/>
        </w:rPr>
        <w:t>aggregate</w:t>
      </w:r>
      <w:r w:rsidR="005D48E0">
        <w:rPr>
          <w:rFonts w:ascii="Trebuchet MS" w:hAnsi="Trebuchet MS"/>
        </w:rPr>
        <w:t xml:space="preserve"> and </w:t>
      </w:r>
      <w:r w:rsidR="00D251DC">
        <w:rPr>
          <w:rFonts w:ascii="Trebuchet MS" w:hAnsi="Trebuchet MS"/>
        </w:rPr>
        <w:t>additives</w:t>
      </w:r>
      <w:r w:rsidRPr="00682B2A">
        <w:rPr>
          <w:rFonts w:ascii="Trebuchet MS" w:hAnsi="Trebuchet MS"/>
        </w:rPr>
        <w:t xml:space="preserve"> </w:t>
      </w:r>
      <w:r w:rsidR="00D75C99">
        <w:rPr>
          <w:rFonts w:ascii="Trebuchet MS" w:hAnsi="Trebuchet MS"/>
        </w:rPr>
        <w:t xml:space="preserve">and </w:t>
      </w:r>
      <w:r w:rsidRPr="00682B2A">
        <w:rPr>
          <w:rFonts w:ascii="Trebuchet MS" w:hAnsi="Trebuchet MS"/>
        </w:rPr>
        <w:t>will require a specific design. Conformity to the design mix is imperative for the success of this process.</w:t>
      </w:r>
    </w:p>
    <w:p w14:paraId="54AE3C1B" w14:textId="31E744E9" w:rsidR="009B3D8F" w:rsidRPr="00682B2A" w:rsidRDefault="009B3D8F" w:rsidP="00BC44F0">
      <w:pPr>
        <w:jc w:val="both"/>
        <w:rPr>
          <w:rFonts w:ascii="Trebuchet MS" w:hAnsi="Trebuchet MS"/>
        </w:rPr>
      </w:pPr>
      <w:r w:rsidRPr="00682B2A">
        <w:rPr>
          <w:rFonts w:ascii="Trebuchet MS" w:hAnsi="Trebuchet MS"/>
        </w:rPr>
        <w:t xml:space="preserve">Site mixtures are generally batch produced either in concrete bell </w:t>
      </w:r>
      <w:r w:rsidR="00FE1BEB" w:rsidRPr="00682B2A">
        <w:rPr>
          <w:rFonts w:ascii="Trebuchet MS" w:hAnsi="Trebuchet MS"/>
        </w:rPr>
        <w:t>or</w:t>
      </w:r>
      <w:r w:rsidRPr="00682B2A">
        <w:rPr>
          <w:rFonts w:ascii="Trebuchet MS" w:hAnsi="Trebuchet MS"/>
        </w:rPr>
        <w:t xml:space="preserve"> </w:t>
      </w:r>
      <w:r w:rsidR="00E05F14">
        <w:rPr>
          <w:rFonts w:ascii="Trebuchet MS" w:hAnsi="Trebuchet MS"/>
        </w:rPr>
        <w:t>purpose</w:t>
      </w:r>
      <w:r w:rsidRPr="00682B2A">
        <w:rPr>
          <w:rFonts w:ascii="Trebuchet MS" w:hAnsi="Trebuchet MS"/>
        </w:rPr>
        <w:t xml:space="preserve"> designed mixers </w:t>
      </w:r>
      <w:r w:rsidR="00D75C99">
        <w:rPr>
          <w:rFonts w:ascii="Trebuchet MS" w:hAnsi="Trebuchet MS"/>
        </w:rPr>
        <w:t>with</w:t>
      </w:r>
      <w:r w:rsidRPr="00682B2A">
        <w:rPr>
          <w:rFonts w:ascii="Trebuchet MS" w:hAnsi="Trebuchet MS"/>
        </w:rPr>
        <w:t xml:space="preserve"> the slurry hand applied. In keeping with the mix design, consistency of the mix batch to batch is important for consistency of both appearance and performance of the finished footway surfacing.</w:t>
      </w:r>
    </w:p>
    <w:p w14:paraId="6F404307" w14:textId="77777777" w:rsidR="009B3D8F" w:rsidRPr="00682B2A" w:rsidRDefault="009B3D8F" w:rsidP="009B3D8F">
      <w:pPr>
        <w:jc w:val="both"/>
        <w:rPr>
          <w:rFonts w:ascii="Trebuchet MS" w:hAnsi="Trebuchet MS"/>
        </w:rPr>
      </w:pPr>
    </w:p>
    <w:p w14:paraId="3B44AFDA" w14:textId="77777777" w:rsidR="009B3D8F" w:rsidRPr="00682B2A" w:rsidRDefault="009B3D8F" w:rsidP="009B3D8F">
      <w:pPr>
        <w:jc w:val="both"/>
        <w:rPr>
          <w:rFonts w:ascii="Trebuchet MS" w:hAnsi="Trebuchet MS"/>
          <w:b/>
          <w:bCs/>
        </w:rPr>
      </w:pPr>
      <w:r w:rsidRPr="00682B2A">
        <w:rPr>
          <w:rFonts w:ascii="Trebuchet MS" w:hAnsi="Trebuchet MS"/>
          <w:b/>
          <w:bCs/>
        </w:rPr>
        <w:t>3. Footway Construction</w:t>
      </w:r>
    </w:p>
    <w:p w14:paraId="082BA8D6" w14:textId="0F705BCF" w:rsidR="009B3D8F" w:rsidRDefault="009B3D8F" w:rsidP="00BC44F0">
      <w:pPr>
        <w:jc w:val="both"/>
        <w:rPr>
          <w:rFonts w:ascii="Trebuchet MS" w:hAnsi="Trebuchet MS"/>
        </w:rPr>
      </w:pPr>
      <w:r w:rsidRPr="00682B2A">
        <w:rPr>
          <w:rFonts w:ascii="Trebuchet MS" w:hAnsi="Trebuchet MS"/>
        </w:rPr>
        <w:t xml:space="preserve">There are </w:t>
      </w:r>
      <w:proofErr w:type="gramStart"/>
      <w:r w:rsidRPr="00682B2A">
        <w:rPr>
          <w:rFonts w:ascii="Trebuchet MS" w:hAnsi="Trebuchet MS"/>
        </w:rPr>
        <w:t>a number of</w:t>
      </w:r>
      <w:proofErr w:type="gramEnd"/>
      <w:r w:rsidRPr="00682B2A">
        <w:rPr>
          <w:rFonts w:ascii="Trebuchet MS" w:hAnsi="Trebuchet MS"/>
        </w:rPr>
        <w:t xml:space="preserve"> ways in which footways may be constructed, but whatever method is used it is advisable to follow these basic </w:t>
      </w:r>
      <w:proofErr w:type="gramStart"/>
      <w:r w:rsidRPr="00682B2A">
        <w:rPr>
          <w:rFonts w:ascii="Trebuchet MS" w:hAnsi="Trebuchet MS"/>
        </w:rPr>
        <w:t>rules:-</w:t>
      </w:r>
      <w:proofErr w:type="gramEnd"/>
    </w:p>
    <w:p w14:paraId="0DF8DEFB" w14:textId="77777777" w:rsidR="009B3D8F" w:rsidRPr="00682B2A" w:rsidRDefault="009B3D8F" w:rsidP="009B3D8F">
      <w:pPr>
        <w:jc w:val="both"/>
        <w:rPr>
          <w:rFonts w:ascii="Trebuchet MS" w:hAnsi="Trebuchet MS"/>
          <w:b/>
          <w:bCs/>
        </w:rPr>
      </w:pPr>
      <w:r w:rsidRPr="00682B2A">
        <w:rPr>
          <w:rFonts w:ascii="Trebuchet MS" w:hAnsi="Trebuchet MS"/>
          <w:b/>
          <w:bCs/>
        </w:rPr>
        <w:t>3.1 Formation Seal and Base Treatment</w:t>
      </w:r>
    </w:p>
    <w:p w14:paraId="602A7752" w14:textId="7240AC98" w:rsidR="009B3D8F" w:rsidRDefault="009B3D8F" w:rsidP="00BC44F0">
      <w:pPr>
        <w:jc w:val="both"/>
        <w:rPr>
          <w:rFonts w:ascii="Trebuchet MS" w:hAnsi="Trebuchet MS"/>
        </w:rPr>
      </w:pPr>
      <w:r w:rsidRPr="00682B2A">
        <w:rPr>
          <w:rFonts w:ascii="Trebuchet MS" w:hAnsi="Trebuchet MS"/>
        </w:rPr>
        <w:t>The freshly cut or placed formation and/or freshly laid sub-base should be sealed, with the object of retaining the strength by preserving moisture equilibrium. Bitumen emulsions of class C40B3 or C40BF3, C60B3 or C60BF3 or A1-40, A1-55 and A1-60 to BS 434-</w:t>
      </w:r>
      <w:r w:rsidR="0084369A">
        <w:rPr>
          <w:rFonts w:ascii="Trebuchet MS" w:hAnsi="Trebuchet MS"/>
        </w:rPr>
        <w:t>1</w:t>
      </w:r>
      <w:r w:rsidRPr="00682B2A">
        <w:rPr>
          <w:rFonts w:ascii="Trebuchet MS" w:hAnsi="Trebuchet MS"/>
        </w:rPr>
        <w:t xml:space="preserve"> are used in cold application. Rates of application of 0.9 to</w:t>
      </w:r>
      <w:r w:rsidR="0084369A">
        <w:rPr>
          <w:rFonts w:ascii="Trebuchet MS" w:hAnsi="Trebuchet MS"/>
        </w:rPr>
        <w:t xml:space="preserve"> </w:t>
      </w:r>
      <w:r w:rsidRPr="00682B2A">
        <w:rPr>
          <w:rFonts w:ascii="Trebuchet MS" w:hAnsi="Trebuchet MS"/>
        </w:rPr>
        <w:t>1.4 l/m² are recommended (note: actual application rate will depend upon local site conditions as well as the binder content of the material being sprayed).</w:t>
      </w:r>
    </w:p>
    <w:p w14:paraId="583061C6" w14:textId="77777777" w:rsidR="009B3D8F" w:rsidRPr="00682B2A" w:rsidRDefault="009B3D8F" w:rsidP="009B3D8F">
      <w:pPr>
        <w:jc w:val="both"/>
        <w:rPr>
          <w:rFonts w:ascii="Trebuchet MS" w:hAnsi="Trebuchet MS"/>
          <w:b/>
          <w:bCs/>
        </w:rPr>
      </w:pPr>
      <w:r w:rsidRPr="00682B2A">
        <w:rPr>
          <w:rFonts w:ascii="Trebuchet MS" w:hAnsi="Trebuchet MS"/>
          <w:b/>
          <w:bCs/>
        </w:rPr>
        <w:t>3.2 Tack or Bond Coat</w:t>
      </w:r>
    </w:p>
    <w:p w14:paraId="1AD6C634" w14:textId="51587F37" w:rsidR="009B3D8F" w:rsidRDefault="009B3D8F" w:rsidP="00BC44F0">
      <w:pPr>
        <w:jc w:val="both"/>
        <w:rPr>
          <w:rFonts w:ascii="Trebuchet MS" w:hAnsi="Trebuchet MS"/>
        </w:rPr>
      </w:pPr>
      <w:r w:rsidRPr="00682B2A">
        <w:rPr>
          <w:rFonts w:ascii="Trebuchet MS" w:hAnsi="Trebuchet MS"/>
        </w:rPr>
        <w:t>Where coated Macadam or Asphalt are employed, a tack coat of emulsion should be used between layers to provide an adhesive and dust free surface. The emulsion used for this work should be either Class C40B3 or C40BF3, C60B3 or C60BF3 or the equivalent anionic grades, at a rate of application between 0.4 l/m² and 0.6 l/m². For high</w:t>
      </w:r>
      <w:r w:rsidR="0084369A">
        <w:rPr>
          <w:rFonts w:ascii="Trebuchet MS" w:hAnsi="Trebuchet MS"/>
        </w:rPr>
        <w:t>er</w:t>
      </w:r>
      <w:r w:rsidRPr="00682B2A">
        <w:rPr>
          <w:rFonts w:ascii="Trebuchet MS" w:hAnsi="Trebuchet MS"/>
        </w:rPr>
        <w:t xml:space="preserve"> stress</w:t>
      </w:r>
      <w:r w:rsidR="0084369A">
        <w:rPr>
          <w:rFonts w:ascii="Trebuchet MS" w:hAnsi="Trebuchet MS"/>
        </w:rPr>
        <w:t>ed</w:t>
      </w:r>
      <w:r w:rsidRPr="00682B2A">
        <w:rPr>
          <w:rFonts w:ascii="Trebuchet MS" w:hAnsi="Trebuchet MS"/>
        </w:rPr>
        <w:t xml:space="preserve"> areas a </w:t>
      </w:r>
      <w:r w:rsidR="0084369A">
        <w:rPr>
          <w:rFonts w:ascii="Trebuchet MS" w:hAnsi="Trebuchet MS"/>
        </w:rPr>
        <w:t xml:space="preserve">polymer modified </w:t>
      </w:r>
      <w:r w:rsidRPr="00682B2A">
        <w:rPr>
          <w:rFonts w:ascii="Trebuchet MS" w:hAnsi="Trebuchet MS"/>
        </w:rPr>
        <w:t>bond coat should be considered.</w:t>
      </w:r>
    </w:p>
    <w:p w14:paraId="3C7E7C54" w14:textId="77777777" w:rsidR="009B3D8F" w:rsidRPr="00682B2A" w:rsidRDefault="009B3D8F" w:rsidP="009B3D8F">
      <w:pPr>
        <w:jc w:val="both"/>
        <w:rPr>
          <w:rFonts w:ascii="Trebuchet MS" w:hAnsi="Trebuchet MS"/>
          <w:b/>
          <w:bCs/>
        </w:rPr>
      </w:pPr>
      <w:r w:rsidRPr="00682B2A">
        <w:rPr>
          <w:rFonts w:ascii="Trebuchet MS" w:hAnsi="Trebuchet MS"/>
          <w:b/>
          <w:bCs/>
        </w:rPr>
        <w:t>3.3 Grouting</w:t>
      </w:r>
    </w:p>
    <w:p w14:paraId="6DA18500" w14:textId="77777777" w:rsidR="00383E40" w:rsidRDefault="009B3D8F" w:rsidP="00BC44F0">
      <w:pPr>
        <w:jc w:val="both"/>
        <w:rPr>
          <w:rFonts w:ascii="Trebuchet MS" w:hAnsi="Trebuchet MS"/>
        </w:rPr>
      </w:pPr>
      <w:r w:rsidRPr="00682B2A">
        <w:rPr>
          <w:rFonts w:ascii="Trebuchet MS" w:hAnsi="Trebuchet MS"/>
        </w:rPr>
        <w:t xml:space="preserve">On sites subject to low </w:t>
      </w:r>
      <w:r w:rsidR="00A42383" w:rsidRPr="00682B2A">
        <w:rPr>
          <w:rFonts w:ascii="Trebuchet MS" w:hAnsi="Trebuchet MS"/>
        </w:rPr>
        <w:t>stress,</w:t>
      </w:r>
      <w:r w:rsidRPr="00682B2A">
        <w:rPr>
          <w:rFonts w:ascii="Trebuchet MS" w:hAnsi="Trebuchet MS"/>
        </w:rPr>
        <w:t xml:space="preserve"> it may be economical to prepare a combined base/wearing course by means of application of </w:t>
      </w:r>
      <w:r w:rsidR="00F5789A">
        <w:rPr>
          <w:rFonts w:ascii="Trebuchet MS" w:hAnsi="Trebuchet MS"/>
        </w:rPr>
        <w:t xml:space="preserve">an </w:t>
      </w:r>
      <w:r w:rsidRPr="00682B2A">
        <w:rPr>
          <w:rFonts w:ascii="Trebuchet MS" w:hAnsi="Trebuchet MS"/>
        </w:rPr>
        <w:t xml:space="preserve">emulsion into the interstices of the aggregate, after the latter has been spread on the foundation and compacted, i.e. </w:t>
      </w:r>
      <w:r w:rsidR="00A5244D">
        <w:rPr>
          <w:rFonts w:ascii="Trebuchet MS" w:hAnsi="Trebuchet MS"/>
        </w:rPr>
        <w:t xml:space="preserve">in-situ </w:t>
      </w:r>
      <w:r w:rsidRPr="00682B2A">
        <w:rPr>
          <w:rFonts w:ascii="Trebuchet MS" w:hAnsi="Trebuchet MS"/>
        </w:rPr>
        <w:t xml:space="preserve">grouting. </w:t>
      </w:r>
    </w:p>
    <w:p w14:paraId="15F75011" w14:textId="1CFC2FCB" w:rsidR="009B3D8F" w:rsidRPr="00682B2A" w:rsidRDefault="009B3D8F" w:rsidP="00BC44F0">
      <w:pPr>
        <w:jc w:val="both"/>
        <w:rPr>
          <w:rFonts w:ascii="Trebuchet MS" w:hAnsi="Trebuchet MS"/>
        </w:rPr>
      </w:pPr>
      <w:r w:rsidRPr="00682B2A">
        <w:rPr>
          <w:rFonts w:ascii="Trebuchet MS" w:hAnsi="Trebuchet MS"/>
        </w:rPr>
        <w:t>For full grouting, the emulsion is used to fully coat the aggregate throughout the depth of the material</w:t>
      </w:r>
      <w:r w:rsidR="0084369A">
        <w:rPr>
          <w:rFonts w:ascii="Trebuchet MS" w:hAnsi="Trebuchet MS"/>
        </w:rPr>
        <w:t>.</w:t>
      </w:r>
      <w:r w:rsidRPr="00682B2A">
        <w:rPr>
          <w:rFonts w:ascii="Trebuchet MS" w:hAnsi="Trebuchet MS"/>
        </w:rPr>
        <w:t xml:space="preserve"> The emulsion employed should be selected from classes C</w:t>
      </w:r>
      <w:r w:rsidR="7FA26D69" w:rsidRPr="00682B2A">
        <w:rPr>
          <w:rFonts w:ascii="Trebuchet MS" w:hAnsi="Trebuchet MS"/>
        </w:rPr>
        <w:t>60</w:t>
      </w:r>
      <w:r w:rsidRPr="00682B2A">
        <w:rPr>
          <w:rFonts w:ascii="Trebuchet MS" w:hAnsi="Trebuchet MS"/>
        </w:rPr>
        <w:t>B3 or C</w:t>
      </w:r>
      <w:r w:rsidR="46EA7E0B" w:rsidRPr="00682B2A">
        <w:rPr>
          <w:rFonts w:ascii="Trebuchet MS" w:hAnsi="Trebuchet MS"/>
        </w:rPr>
        <w:t>60</w:t>
      </w:r>
      <w:r w:rsidRPr="00682B2A">
        <w:rPr>
          <w:rFonts w:ascii="Trebuchet MS" w:hAnsi="Trebuchet MS"/>
        </w:rPr>
        <w:t>BF3, A1-55</w:t>
      </w:r>
      <w:r w:rsidR="00383E40">
        <w:rPr>
          <w:rFonts w:ascii="Trebuchet MS" w:hAnsi="Trebuchet MS"/>
        </w:rPr>
        <w:t xml:space="preserve"> or</w:t>
      </w:r>
      <w:r w:rsidRPr="00682B2A">
        <w:rPr>
          <w:rFonts w:ascii="Trebuchet MS" w:hAnsi="Trebuchet MS"/>
        </w:rPr>
        <w:t xml:space="preserve"> A1-60, the former being preferred in situations where the stone layer is open or wet. C69B3 or C69BF3 may be employed by agreement between</w:t>
      </w:r>
      <w:r w:rsidR="00383E40">
        <w:rPr>
          <w:rFonts w:ascii="Trebuchet MS" w:hAnsi="Trebuchet MS"/>
        </w:rPr>
        <w:t xml:space="preserve"> the</w:t>
      </w:r>
      <w:r w:rsidRPr="00682B2A">
        <w:rPr>
          <w:rFonts w:ascii="Trebuchet MS" w:hAnsi="Trebuchet MS"/>
        </w:rPr>
        <w:t xml:space="preserve"> purchaser and supplier. For footway construction, the semi-grout principle is more generally adopted, whereby the emulsion is only intended to penetrate the upper part of the construction, thus providing a limited depth of cohesion and waterproofing. Figures applicable to full and semi-grout are given in Table 1. </w:t>
      </w:r>
    </w:p>
    <w:p w14:paraId="0A3405F0" w14:textId="77777777" w:rsidR="009B3D8F" w:rsidRPr="00682B2A" w:rsidRDefault="009B3D8F" w:rsidP="00BC44F0">
      <w:pPr>
        <w:jc w:val="both"/>
        <w:rPr>
          <w:rFonts w:ascii="Trebuchet MS" w:hAnsi="Trebuchet MS"/>
        </w:rPr>
      </w:pPr>
      <w:r w:rsidRPr="00682B2A">
        <w:rPr>
          <w:rFonts w:ascii="Trebuchet MS" w:hAnsi="Trebuchet MS"/>
        </w:rPr>
        <w:t xml:space="preserve">To achieve a full grout the quantity of bitumen emulsion should be sufficient to penetrate to the full depth of the course; it is advantageous to apply the emulsion in two stages. For semi-grouted work the quantity of emulsion used should be sufficient to coat the aggregate to the full depth of the layer above the slurry or water-bound layer. </w:t>
      </w:r>
    </w:p>
    <w:p w14:paraId="2C1B68F4" w14:textId="693A3E97" w:rsidR="009B3D8F" w:rsidRPr="00682B2A" w:rsidRDefault="00455983" w:rsidP="009B3D8F">
      <w:pPr>
        <w:jc w:val="both"/>
        <w:rPr>
          <w:rFonts w:ascii="Trebuchet MS" w:hAnsi="Trebuchet MS"/>
          <w:b/>
          <w:bCs/>
        </w:rPr>
      </w:pPr>
      <w:r>
        <w:rPr>
          <w:rFonts w:ascii="Trebuchet MS" w:hAnsi="Trebuchet MS"/>
          <w:b/>
          <w:bCs/>
        </w:rPr>
        <w:lastRenderedPageBreak/>
        <w:t>T</w:t>
      </w:r>
      <w:r w:rsidR="009B3D8F" w:rsidRPr="00682B2A">
        <w:rPr>
          <w:rFonts w:ascii="Trebuchet MS" w:hAnsi="Trebuchet MS"/>
          <w:b/>
          <w:bCs/>
        </w:rPr>
        <w:t>able 1 - Typical rates of application for grouting</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9B3D8F" w:rsidRPr="00682B2A" w14:paraId="6E9C9C8D" w14:textId="77777777" w:rsidTr="00775014">
        <w:tc>
          <w:tcPr>
            <w:tcW w:w="2254" w:type="dxa"/>
          </w:tcPr>
          <w:p w14:paraId="30AAA1A5" w14:textId="77777777" w:rsidR="009B3D8F" w:rsidRPr="007E21E5" w:rsidRDefault="009B3D8F" w:rsidP="007E21E5">
            <w:pPr>
              <w:jc w:val="center"/>
              <w:rPr>
                <w:rFonts w:ascii="Trebuchet MS" w:hAnsi="Trebuchet MS"/>
                <w:b/>
                <w:bCs/>
              </w:rPr>
            </w:pPr>
            <w:r w:rsidRPr="007E21E5">
              <w:rPr>
                <w:rFonts w:ascii="Trebuchet MS" w:hAnsi="Trebuchet MS"/>
                <w:b/>
                <w:bCs/>
              </w:rPr>
              <w:t>Thickness of Course (mm)</w:t>
            </w:r>
          </w:p>
          <w:p w14:paraId="04DAB9A3" w14:textId="7F9C77BE" w:rsidR="007E21E5" w:rsidRPr="007E21E5" w:rsidRDefault="007E21E5" w:rsidP="007E21E5">
            <w:pPr>
              <w:jc w:val="center"/>
              <w:rPr>
                <w:rFonts w:ascii="Trebuchet MS" w:hAnsi="Trebuchet MS"/>
                <w:b/>
                <w:bCs/>
              </w:rPr>
            </w:pPr>
          </w:p>
        </w:tc>
        <w:tc>
          <w:tcPr>
            <w:tcW w:w="2254" w:type="dxa"/>
          </w:tcPr>
          <w:p w14:paraId="3924C94C" w14:textId="77777777" w:rsidR="009B3D8F" w:rsidRPr="007E21E5" w:rsidRDefault="009B3D8F" w:rsidP="007E21E5">
            <w:pPr>
              <w:jc w:val="center"/>
              <w:rPr>
                <w:rFonts w:ascii="Trebuchet MS" w:hAnsi="Trebuchet MS"/>
                <w:b/>
                <w:bCs/>
              </w:rPr>
            </w:pPr>
            <w:r w:rsidRPr="007E21E5">
              <w:rPr>
                <w:rFonts w:ascii="Trebuchet MS" w:hAnsi="Trebuchet MS"/>
                <w:b/>
                <w:bCs/>
              </w:rPr>
              <w:t>Nominal Size of</w:t>
            </w:r>
          </w:p>
          <w:p w14:paraId="561042A8" w14:textId="1C011C1B" w:rsidR="009B3D8F" w:rsidRPr="007E21E5" w:rsidRDefault="009B3D8F" w:rsidP="007E21E5">
            <w:pPr>
              <w:jc w:val="center"/>
              <w:rPr>
                <w:rFonts w:ascii="Trebuchet MS" w:hAnsi="Trebuchet MS"/>
                <w:b/>
                <w:bCs/>
              </w:rPr>
            </w:pPr>
            <w:r w:rsidRPr="007E21E5">
              <w:rPr>
                <w:rFonts w:ascii="Trebuchet MS" w:hAnsi="Trebuchet MS"/>
                <w:b/>
                <w:bCs/>
              </w:rPr>
              <w:t>Aggregate</w:t>
            </w:r>
          </w:p>
        </w:tc>
        <w:tc>
          <w:tcPr>
            <w:tcW w:w="2254" w:type="dxa"/>
          </w:tcPr>
          <w:p w14:paraId="5C335DA3" w14:textId="77777777" w:rsidR="00BC6DE7" w:rsidRDefault="009B3D8F" w:rsidP="007E21E5">
            <w:pPr>
              <w:jc w:val="center"/>
              <w:rPr>
                <w:rFonts w:ascii="Trebuchet MS" w:hAnsi="Trebuchet MS"/>
                <w:b/>
                <w:bCs/>
              </w:rPr>
            </w:pPr>
            <w:r w:rsidRPr="007E21E5">
              <w:rPr>
                <w:rFonts w:ascii="Trebuchet MS" w:hAnsi="Trebuchet MS"/>
                <w:b/>
                <w:bCs/>
              </w:rPr>
              <w:t xml:space="preserve">Full Grout </w:t>
            </w:r>
          </w:p>
          <w:p w14:paraId="48DA19D2" w14:textId="74D64C20" w:rsidR="009B3D8F" w:rsidRPr="007E21E5" w:rsidRDefault="009B3D8F" w:rsidP="007E21E5">
            <w:pPr>
              <w:jc w:val="center"/>
              <w:rPr>
                <w:rFonts w:ascii="Trebuchet MS" w:hAnsi="Trebuchet MS"/>
                <w:b/>
                <w:bCs/>
              </w:rPr>
            </w:pPr>
            <w:r w:rsidRPr="007E21E5">
              <w:rPr>
                <w:rFonts w:ascii="Trebuchet MS" w:hAnsi="Trebuchet MS"/>
                <w:b/>
                <w:bCs/>
              </w:rPr>
              <w:t>(l/m²)</w:t>
            </w:r>
          </w:p>
        </w:tc>
        <w:tc>
          <w:tcPr>
            <w:tcW w:w="2254" w:type="dxa"/>
          </w:tcPr>
          <w:p w14:paraId="543B37B9" w14:textId="77777777" w:rsidR="009B3D8F" w:rsidRPr="007E21E5" w:rsidRDefault="009B3D8F" w:rsidP="007E21E5">
            <w:pPr>
              <w:jc w:val="center"/>
              <w:rPr>
                <w:rFonts w:ascii="Trebuchet MS" w:hAnsi="Trebuchet MS"/>
                <w:b/>
                <w:bCs/>
              </w:rPr>
            </w:pPr>
            <w:r w:rsidRPr="007E21E5">
              <w:rPr>
                <w:rFonts w:ascii="Trebuchet MS" w:hAnsi="Trebuchet MS"/>
                <w:b/>
                <w:bCs/>
              </w:rPr>
              <w:t>Semi-grout</w:t>
            </w:r>
          </w:p>
          <w:p w14:paraId="721D719E" w14:textId="719FEA88" w:rsidR="009B3D8F" w:rsidRPr="007E21E5" w:rsidRDefault="009B3D8F" w:rsidP="007E21E5">
            <w:pPr>
              <w:jc w:val="center"/>
              <w:rPr>
                <w:rFonts w:ascii="Trebuchet MS" w:hAnsi="Trebuchet MS"/>
                <w:b/>
                <w:bCs/>
              </w:rPr>
            </w:pPr>
            <w:r w:rsidRPr="007E21E5">
              <w:rPr>
                <w:rFonts w:ascii="Trebuchet MS" w:hAnsi="Trebuchet MS"/>
                <w:b/>
                <w:bCs/>
              </w:rPr>
              <w:t>(l/m²)</w:t>
            </w:r>
          </w:p>
        </w:tc>
      </w:tr>
      <w:tr w:rsidR="009B3D8F" w:rsidRPr="00682B2A" w14:paraId="7488FF08" w14:textId="77777777" w:rsidTr="00775014">
        <w:tc>
          <w:tcPr>
            <w:tcW w:w="2254" w:type="dxa"/>
          </w:tcPr>
          <w:p w14:paraId="57FD2B66" w14:textId="30741764" w:rsidR="009B3D8F" w:rsidRDefault="009B3D8F" w:rsidP="007E21E5">
            <w:pPr>
              <w:jc w:val="center"/>
              <w:rPr>
                <w:rFonts w:ascii="Trebuchet MS" w:hAnsi="Trebuchet MS"/>
              </w:rPr>
            </w:pPr>
            <w:r w:rsidRPr="00682B2A">
              <w:rPr>
                <w:rFonts w:ascii="Trebuchet MS" w:hAnsi="Trebuchet MS"/>
              </w:rPr>
              <w:t>50</w:t>
            </w:r>
          </w:p>
          <w:p w14:paraId="092ECBA1" w14:textId="1D0806E4" w:rsidR="007E21E5" w:rsidRPr="00682B2A" w:rsidRDefault="007E21E5" w:rsidP="007E21E5">
            <w:pPr>
              <w:jc w:val="center"/>
              <w:rPr>
                <w:rFonts w:ascii="Trebuchet MS" w:hAnsi="Trebuchet MS"/>
              </w:rPr>
            </w:pPr>
          </w:p>
        </w:tc>
        <w:tc>
          <w:tcPr>
            <w:tcW w:w="2254" w:type="dxa"/>
          </w:tcPr>
          <w:p w14:paraId="6346A372" w14:textId="5616D8CC" w:rsidR="009B3D8F" w:rsidRPr="00682B2A" w:rsidRDefault="009B3D8F" w:rsidP="007E21E5">
            <w:pPr>
              <w:jc w:val="center"/>
              <w:rPr>
                <w:rFonts w:ascii="Trebuchet MS" w:hAnsi="Trebuchet MS"/>
              </w:rPr>
            </w:pPr>
            <w:r w:rsidRPr="00682B2A">
              <w:rPr>
                <w:rFonts w:ascii="Trebuchet MS" w:hAnsi="Trebuchet MS"/>
              </w:rPr>
              <w:t>40 mm down</w:t>
            </w:r>
          </w:p>
        </w:tc>
        <w:tc>
          <w:tcPr>
            <w:tcW w:w="2254" w:type="dxa"/>
          </w:tcPr>
          <w:p w14:paraId="27F942F4" w14:textId="7395D02B" w:rsidR="009B3D8F" w:rsidRPr="00682B2A" w:rsidRDefault="009B3D8F" w:rsidP="007E21E5">
            <w:pPr>
              <w:jc w:val="center"/>
              <w:rPr>
                <w:rFonts w:ascii="Trebuchet MS" w:hAnsi="Trebuchet MS"/>
              </w:rPr>
            </w:pPr>
            <w:r w:rsidRPr="00682B2A">
              <w:rPr>
                <w:rFonts w:ascii="Trebuchet MS" w:hAnsi="Trebuchet MS"/>
              </w:rPr>
              <w:t>5.5 - 7.0</w:t>
            </w:r>
          </w:p>
        </w:tc>
        <w:tc>
          <w:tcPr>
            <w:tcW w:w="2254" w:type="dxa"/>
          </w:tcPr>
          <w:p w14:paraId="208A4BC1" w14:textId="6608523E" w:rsidR="009B3D8F" w:rsidRPr="00682B2A" w:rsidRDefault="009B3D8F" w:rsidP="007E21E5">
            <w:pPr>
              <w:jc w:val="center"/>
              <w:rPr>
                <w:rFonts w:ascii="Trebuchet MS" w:hAnsi="Trebuchet MS"/>
              </w:rPr>
            </w:pPr>
            <w:r w:rsidRPr="00682B2A">
              <w:rPr>
                <w:rFonts w:ascii="Trebuchet MS" w:hAnsi="Trebuchet MS"/>
              </w:rPr>
              <w:t>3.0 - 5.5</w:t>
            </w:r>
          </w:p>
        </w:tc>
      </w:tr>
      <w:tr w:rsidR="009B3D8F" w:rsidRPr="00682B2A" w14:paraId="5D74253B" w14:textId="77777777" w:rsidTr="00775014">
        <w:tc>
          <w:tcPr>
            <w:tcW w:w="2254" w:type="dxa"/>
          </w:tcPr>
          <w:p w14:paraId="35F074BE" w14:textId="70B21BF6" w:rsidR="009B3D8F" w:rsidRDefault="009B3D8F" w:rsidP="007E21E5">
            <w:pPr>
              <w:jc w:val="center"/>
              <w:rPr>
                <w:rFonts w:ascii="Trebuchet MS" w:hAnsi="Trebuchet MS"/>
              </w:rPr>
            </w:pPr>
            <w:r w:rsidRPr="00682B2A">
              <w:rPr>
                <w:rFonts w:ascii="Trebuchet MS" w:hAnsi="Trebuchet MS"/>
              </w:rPr>
              <w:t>65</w:t>
            </w:r>
          </w:p>
          <w:p w14:paraId="46ACC087" w14:textId="2676C857" w:rsidR="007E21E5" w:rsidRPr="00682B2A" w:rsidRDefault="007E21E5" w:rsidP="007E21E5">
            <w:pPr>
              <w:jc w:val="center"/>
              <w:rPr>
                <w:rFonts w:ascii="Trebuchet MS" w:hAnsi="Trebuchet MS"/>
              </w:rPr>
            </w:pPr>
          </w:p>
        </w:tc>
        <w:tc>
          <w:tcPr>
            <w:tcW w:w="2254" w:type="dxa"/>
          </w:tcPr>
          <w:p w14:paraId="6C62E729" w14:textId="628976F7" w:rsidR="009B3D8F" w:rsidRPr="00682B2A" w:rsidRDefault="009B3D8F" w:rsidP="007E21E5">
            <w:pPr>
              <w:jc w:val="center"/>
              <w:rPr>
                <w:rFonts w:ascii="Trebuchet MS" w:hAnsi="Trebuchet MS"/>
              </w:rPr>
            </w:pPr>
            <w:r w:rsidRPr="00682B2A">
              <w:rPr>
                <w:rFonts w:ascii="Trebuchet MS" w:hAnsi="Trebuchet MS"/>
              </w:rPr>
              <w:t>50 mm down</w:t>
            </w:r>
          </w:p>
        </w:tc>
        <w:tc>
          <w:tcPr>
            <w:tcW w:w="2254" w:type="dxa"/>
          </w:tcPr>
          <w:p w14:paraId="294B1438" w14:textId="2E4F6C4A" w:rsidR="009B3D8F" w:rsidRPr="00682B2A" w:rsidRDefault="009B3D8F" w:rsidP="007E21E5">
            <w:pPr>
              <w:jc w:val="center"/>
              <w:rPr>
                <w:rFonts w:ascii="Trebuchet MS" w:hAnsi="Trebuchet MS"/>
              </w:rPr>
            </w:pPr>
            <w:r w:rsidRPr="00682B2A">
              <w:rPr>
                <w:rFonts w:ascii="Trebuchet MS" w:hAnsi="Trebuchet MS"/>
              </w:rPr>
              <w:t>7.0 - 9.5</w:t>
            </w:r>
          </w:p>
        </w:tc>
        <w:tc>
          <w:tcPr>
            <w:tcW w:w="2254" w:type="dxa"/>
          </w:tcPr>
          <w:p w14:paraId="405379CB" w14:textId="02443B45" w:rsidR="009B3D8F" w:rsidRPr="00682B2A" w:rsidRDefault="009B3D8F" w:rsidP="007E21E5">
            <w:pPr>
              <w:jc w:val="center"/>
              <w:rPr>
                <w:rFonts w:ascii="Trebuchet MS" w:hAnsi="Trebuchet MS"/>
              </w:rPr>
            </w:pPr>
            <w:r w:rsidRPr="00682B2A">
              <w:rPr>
                <w:rFonts w:ascii="Trebuchet MS" w:hAnsi="Trebuchet MS"/>
              </w:rPr>
              <w:t>4.0 - 7.0</w:t>
            </w:r>
          </w:p>
        </w:tc>
      </w:tr>
      <w:tr w:rsidR="009B3D8F" w:rsidRPr="00682B2A" w14:paraId="0B17DD8A" w14:textId="77777777" w:rsidTr="00775014">
        <w:tc>
          <w:tcPr>
            <w:tcW w:w="2254" w:type="dxa"/>
          </w:tcPr>
          <w:p w14:paraId="055BDE84" w14:textId="7BE794E4" w:rsidR="009B3D8F" w:rsidRDefault="009B3D8F" w:rsidP="007E21E5">
            <w:pPr>
              <w:jc w:val="center"/>
              <w:rPr>
                <w:rFonts w:ascii="Trebuchet MS" w:hAnsi="Trebuchet MS"/>
              </w:rPr>
            </w:pPr>
            <w:r w:rsidRPr="00682B2A">
              <w:rPr>
                <w:rFonts w:ascii="Trebuchet MS" w:hAnsi="Trebuchet MS"/>
              </w:rPr>
              <w:t>75</w:t>
            </w:r>
          </w:p>
          <w:p w14:paraId="4BC52306" w14:textId="64BB6D45" w:rsidR="007E21E5" w:rsidRPr="00682B2A" w:rsidRDefault="007E21E5" w:rsidP="007E21E5">
            <w:pPr>
              <w:jc w:val="center"/>
              <w:rPr>
                <w:rFonts w:ascii="Trebuchet MS" w:hAnsi="Trebuchet MS"/>
              </w:rPr>
            </w:pPr>
          </w:p>
        </w:tc>
        <w:tc>
          <w:tcPr>
            <w:tcW w:w="2254" w:type="dxa"/>
          </w:tcPr>
          <w:p w14:paraId="64DD67CE" w14:textId="6C4BC20C" w:rsidR="009B3D8F" w:rsidRPr="00682B2A" w:rsidRDefault="009B3D8F" w:rsidP="007E21E5">
            <w:pPr>
              <w:jc w:val="center"/>
              <w:rPr>
                <w:rFonts w:ascii="Trebuchet MS" w:hAnsi="Trebuchet MS"/>
              </w:rPr>
            </w:pPr>
            <w:r w:rsidRPr="00682B2A">
              <w:rPr>
                <w:rFonts w:ascii="Trebuchet MS" w:hAnsi="Trebuchet MS"/>
              </w:rPr>
              <w:t>50 mm down</w:t>
            </w:r>
          </w:p>
        </w:tc>
        <w:tc>
          <w:tcPr>
            <w:tcW w:w="2254" w:type="dxa"/>
          </w:tcPr>
          <w:p w14:paraId="1CE446BE" w14:textId="4575B3C9" w:rsidR="009B3D8F" w:rsidRPr="00682B2A" w:rsidRDefault="009B3D8F" w:rsidP="007E21E5">
            <w:pPr>
              <w:jc w:val="center"/>
              <w:rPr>
                <w:rFonts w:ascii="Trebuchet MS" w:hAnsi="Trebuchet MS"/>
              </w:rPr>
            </w:pPr>
            <w:r w:rsidRPr="00682B2A">
              <w:rPr>
                <w:rFonts w:ascii="Trebuchet MS" w:hAnsi="Trebuchet MS"/>
              </w:rPr>
              <w:t>9.5 - 11.0</w:t>
            </w:r>
          </w:p>
        </w:tc>
        <w:tc>
          <w:tcPr>
            <w:tcW w:w="2254" w:type="dxa"/>
          </w:tcPr>
          <w:p w14:paraId="7C7AB8FE" w14:textId="24E8D7A4" w:rsidR="009B3D8F" w:rsidRPr="00682B2A" w:rsidRDefault="009B3D8F" w:rsidP="007E21E5">
            <w:pPr>
              <w:jc w:val="center"/>
              <w:rPr>
                <w:rFonts w:ascii="Trebuchet MS" w:hAnsi="Trebuchet MS"/>
              </w:rPr>
            </w:pPr>
            <w:r w:rsidRPr="00682B2A">
              <w:rPr>
                <w:rFonts w:ascii="Trebuchet MS" w:hAnsi="Trebuchet MS"/>
              </w:rPr>
              <w:t>5.5 - 8.0</w:t>
            </w:r>
          </w:p>
        </w:tc>
      </w:tr>
    </w:tbl>
    <w:p w14:paraId="2C2722B4" w14:textId="77777777" w:rsidR="00784432" w:rsidRDefault="00784432" w:rsidP="009B3D8F">
      <w:pPr>
        <w:jc w:val="both"/>
        <w:rPr>
          <w:rFonts w:ascii="Trebuchet MS" w:hAnsi="Trebuchet MS"/>
        </w:rPr>
      </w:pPr>
    </w:p>
    <w:p w14:paraId="6103C40A" w14:textId="418F2910" w:rsidR="009B3D8F" w:rsidRPr="00775014" w:rsidRDefault="009B3D8F" w:rsidP="009B3D8F">
      <w:pPr>
        <w:jc w:val="both"/>
        <w:rPr>
          <w:rFonts w:ascii="Trebuchet MS" w:hAnsi="Trebuchet MS"/>
          <w:b/>
          <w:bCs/>
        </w:rPr>
      </w:pPr>
      <w:r w:rsidRPr="00775014">
        <w:rPr>
          <w:rFonts w:ascii="Trebuchet MS" w:hAnsi="Trebuchet MS"/>
          <w:b/>
          <w:bCs/>
        </w:rPr>
        <w:t>3.4 Grouting procedure</w:t>
      </w:r>
    </w:p>
    <w:p w14:paraId="43BDA00C" w14:textId="77777777" w:rsidR="009B3D8F" w:rsidRPr="00682B2A" w:rsidRDefault="009B3D8F" w:rsidP="00F60C47">
      <w:pPr>
        <w:jc w:val="both"/>
        <w:rPr>
          <w:rFonts w:ascii="Trebuchet MS" w:hAnsi="Trebuchet MS"/>
        </w:rPr>
      </w:pPr>
      <w:r w:rsidRPr="00682B2A">
        <w:rPr>
          <w:rFonts w:ascii="Trebuchet MS" w:hAnsi="Trebuchet MS"/>
        </w:rPr>
        <w:t xml:space="preserve">Following the initial compaction of the support and subsequent application of emulsion, clean 2.8/6.3 mm or 6.3/10 mm chippings should be spread uniformly over the surface in sufficient quantity to fill up existing surface interstices, but not </w:t>
      </w:r>
      <w:proofErr w:type="gramStart"/>
      <w:r w:rsidRPr="00682B2A">
        <w:rPr>
          <w:rFonts w:ascii="Trebuchet MS" w:hAnsi="Trebuchet MS"/>
        </w:rPr>
        <w:t>in excess of</w:t>
      </w:r>
      <w:proofErr w:type="gramEnd"/>
      <w:r w:rsidRPr="00682B2A">
        <w:rPr>
          <w:rFonts w:ascii="Trebuchet MS" w:hAnsi="Trebuchet MS"/>
        </w:rPr>
        <w:t xml:space="preserve"> this. The surface should then be rolled again. </w:t>
      </w:r>
    </w:p>
    <w:p w14:paraId="428A7E1A" w14:textId="37B899DA" w:rsidR="009B3D8F" w:rsidRPr="00682B2A" w:rsidRDefault="009B3D8F" w:rsidP="00F60C47">
      <w:pPr>
        <w:jc w:val="both"/>
        <w:rPr>
          <w:rFonts w:ascii="Trebuchet MS" w:hAnsi="Trebuchet MS"/>
        </w:rPr>
      </w:pPr>
      <w:r w:rsidRPr="00682B2A">
        <w:rPr>
          <w:rFonts w:ascii="Trebuchet MS" w:hAnsi="Trebuchet MS"/>
        </w:rPr>
        <w:t>After an agreed interval, a surface dressing should be applied using 2.8/6.3 mm chippings and emulsion selected from class, C69B3 or C69BF3, or a proprietary footway surface dressing emulsion (e.g.C69BP3). The purpose of this dressing is to seal the surface and provide rugosity.</w:t>
      </w:r>
    </w:p>
    <w:p w14:paraId="09DCDA35" w14:textId="77777777" w:rsidR="009B3D8F" w:rsidRPr="00682B2A" w:rsidRDefault="009B3D8F" w:rsidP="009B3D8F">
      <w:pPr>
        <w:jc w:val="both"/>
        <w:rPr>
          <w:rFonts w:ascii="Trebuchet MS" w:hAnsi="Trebuchet MS"/>
        </w:rPr>
      </w:pPr>
    </w:p>
    <w:p w14:paraId="56148908" w14:textId="77777777" w:rsidR="009B3D8F" w:rsidRPr="00682B2A" w:rsidRDefault="009B3D8F" w:rsidP="009B3D8F">
      <w:pPr>
        <w:jc w:val="both"/>
        <w:rPr>
          <w:rFonts w:ascii="Trebuchet MS" w:hAnsi="Trebuchet MS"/>
          <w:b/>
          <w:bCs/>
        </w:rPr>
      </w:pPr>
      <w:r w:rsidRPr="00682B2A">
        <w:rPr>
          <w:rFonts w:ascii="Trebuchet MS" w:hAnsi="Trebuchet MS"/>
          <w:b/>
          <w:bCs/>
        </w:rPr>
        <w:t>4. Footway Surface Dressing</w:t>
      </w:r>
    </w:p>
    <w:p w14:paraId="4CFA7716" w14:textId="334A6FCC" w:rsidR="009B3D8F" w:rsidRPr="00682B2A" w:rsidRDefault="009B3D8F" w:rsidP="00F60C47">
      <w:pPr>
        <w:jc w:val="both"/>
        <w:rPr>
          <w:rFonts w:ascii="Trebuchet MS" w:hAnsi="Trebuchet MS"/>
        </w:rPr>
      </w:pPr>
      <w:r w:rsidRPr="00682B2A">
        <w:rPr>
          <w:rFonts w:ascii="Trebuchet MS" w:hAnsi="Trebuchet MS"/>
        </w:rPr>
        <w:t xml:space="preserve">In the case of surface sealing on a </w:t>
      </w:r>
      <w:proofErr w:type="spellStart"/>
      <w:r w:rsidRPr="00682B2A">
        <w:rPr>
          <w:rFonts w:ascii="Trebuchet MS" w:hAnsi="Trebuchet MS"/>
        </w:rPr>
        <w:t>waterbound</w:t>
      </w:r>
      <w:proofErr w:type="spellEnd"/>
      <w:r w:rsidRPr="00682B2A">
        <w:rPr>
          <w:rFonts w:ascii="Trebuchet MS" w:hAnsi="Trebuchet MS"/>
        </w:rPr>
        <w:t xml:space="preserve"> construction, it may be necessary to apply a double surface dressing, wherein two binder and chipping applications are carried out in quick succession. Emulsion classes C69B3 or C69BF3 or proprietary footway surface dressing emulsions are </w:t>
      </w:r>
      <w:r w:rsidR="00F60C47" w:rsidRPr="00682B2A">
        <w:rPr>
          <w:rFonts w:ascii="Trebuchet MS" w:hAnsi="Trebuchet MS"/>
        </w:rPr>
        <w:t>recommended,</w:t>
      </w:r>
      <w:r w:rsidRPr="00682B2A">
        <w:rPr>
          <w:rFonts w:ascii="Trebuchet MS" w:hAnsi="Trebuchet MS"/>
        </w:rPr>
        <w:t xml:space="preserve"> and approximate rates of application are as follows: </w:t>
      </w:r>
    </w:p>
    <w:p w14:paraId="531D50BE" w14:textId="1C8E73B9" w:rsidR="009B3D8F" w:rsidRPr="00682B2A" w:rsidRDefault="009B3D8F" w:rsidP="00F60C47">
      <w:pPr>
        <w:jc w:val="both"/>
        <w:rPr>
          <w:rFonts w:ascii="Trebuchet MS" w:hAnsi="Trebuchet MS"/>
        </w:rPr>
      </w:pPr>
      <w:r w:rsidRPr="00682B2A">
        <w:rPr>
          <w:rFonts w:ascii="Trebuchet MS" w:hAnsi="Trebuchet MS"/>
        </w:rPr>
        <w:t xml:space="preserve">Single Dressing with emulsion at 1.6 to 1.9 l/m² using 2.8/6.3mm </w:t>
      </w:r>
      <w:r w:rsidR="00A42383" w:rsidRPr="00682B2A">
        <w:rPr>
          <w:rFonts w:ascii="Trebuchet MS" w:hAnsi="Trebuchet MS"/>
        </w:rPr>
        <w:t>chippings.</w:t>
      </w:r>
    </w:p>
    <w:p w14:paraId="23417BB5" w14:textId="7EE4ADF5" w:rsidR="009B3D8F" w:rsidRPr="00682B2A" w:rsidRDefault="009B3D8F" w:rsidP="00F60C47">
      <w:pPr>
        <w:jc w:val="both"/>
        <w:rPr>
          <w:rFonts w:ascii="Trebuchet MS" w:hAnsi="Trebuchet MS"/>
        </w:rPr>
      </w:pPr>
      <w:r w:rsidRPr="00682B2A">
        <w:rPr>
          <w:rFonts w:ascii="Trebuchet MS" w:hAnsi="Trebuchet MS"/>
        </w:rPr>
        <w:t>Double Dressing consisting of a 1st application with 0.9 to</w:t>
      </w:r>
      <w:r w:rsidR="000D5AA2">
        <w:rPr>
          <w:rFonts w:ascii="Trebuchet MS" w:hAnsi="Trebuchet MS"/>
        </w:rPr>
        <w:t xml:space="preserve"> </w:t>
      </w:r>
      <w:r w:rsidRPr="00682B2A">
        <w:rPr>
          <w:rFonts w:ascii="Trebuchet MS" w:hAnsi="Trebuchet MS"/>
        </w:rPr>
        <w:t>1.4 l/m² of emulsion using 2.8/6.3mm</w:t>
      </w:r>
      <w:r w:rsidR="75F57D7F" w:rsidRPr="00682B2A">
        <w:rPr>
          <w:rFonts w:ascii="Trebuchet MS" w:hAnsi="Trebuchet MS"/>
        </w:rPr>
        <w:t xml:space="preserve"> </w:t>
      </w:r>
      <w:r w:rsidRPr="00682B2A">
        <w:rPr>
          <w:rFonts w:ascii="Trebuchet MS" w:hAnsi="Trebuchet MS"/>
        </w:rPr>
        <w:t>chippings, then 2nd application: 0.9</w:t>
      </w:r>
      <w:r w:rsidR="006B6F97">
        <w:rPr>
          <w:rFonts w:ascii="Trebuchet MS" w:hAnsi="Trebuchet MS"/>
        </w:rPr>
        <w:t xml:space="preserve"> to </w:t>
      </w:r>
      <w:r w:rsidRPr="00682B2A">
        <w:rPr>
          <w:rFonts w:ascii="Trebuchet MS" w:hAnsi="Trebuchet MS"/>
        </w:rPr>
        <w:t>1.4 l/m² of emulsion with 2.8/6.3mm chippings.</w:t>
      </w:r>
    </w:p>
    <w:p w14:paraId="2E7C5312" w14:textId="4D5ECFC7" w:rsidR="009B3D8F" w:rsidRPr="00682B2A" w:rsidRDefault="009B3D8F" w:rsidP="00F60C47">
      <w:pPr>
        <w:jc w:val="both"/>
        <w:rPr>
          <w:rFonts w:ascii="Trebuchet MS" w:hAnsi="Trebuchet MS"/>
        </w:rPr>
      </w:pPr>
      <w:r w:rsidRPr="00682B2A">
        <w:rPr>
          <w:rFonts w:ascii="Trebuchet MS" w:hAnsi="Trebuchet MS"/>
        </w:rPr>
        <w:t>More information on design criteria and application rates can be found in Road Note 39</w:t>
      </w:r>
      <w:r w:rsidR="48290DA8" w:rsidRPr="00682B2A">
        <w:rPr>
          <w:rFonts w:ascii="Trebuchet MS" w:hAnsi="Trebuchet MS"/>
        </w:rPr>
        <w:t xml:space="preserve"> </w:t>
      </w:r>
      <w:r w:rsidRPr="00682B2A">
        <w:rPr>
          <w:rFonts w:ascii="Trebuchet MS" w:hAnsi="Trebuchet MS"/>
        </w:rPr>
        <w:t>available from TRL</w:t>
      </w:r>
      <w:r w:rsidR="00682B2A">
        <w:rPr>
          <w:rFonts w:ascii="Trebuchet MS" w:hAnsi="Trebuchet MS"/>
        </w:rPr>
        <w:t>.</w:t>
      </w:r>
    </w:p>
    <w:p w14:paraId="165006B1" w14:textId="77777777" w:rsidR="00A42383" w:rsidRDefault="00A42383" w:rsidP="00DA50F3">
      <w:pPr>
        <w:rPr>
          <w:rFonts w:ascii="Trebuchet MS" w:hAnsi="Trebuchet MS"/>
          <w:b/>
          <w:bCs/>
        </w:rPr>
      </w:pPr>
    </w:p>
    <w:p w14:paraId="728BA6A3" w14:textId="744F03C1" w:rsidR="009B3D8F" w:rsidRPr="00682B2A" w:rsidRDefault="009B3D8F" w:rsidP="00DA50F3">
      <w:pPr>
        <w:rPr>
          <w:rFonts w:ascii="Trebuchet MS" w:hAnsi="Trebuchet MS"/>
          <w:b/>
          <w:bCs/>
        </w:rPr>
      </w:pPr>
      <w:r w:rsidRPr="00682B2A">
        <w:rPr>
          <w:rFonts w:ascii="Trebuchet MS" w:hAnsi="Trebuchet MS"/>
          <w:b/>
          <w:bCs/>
        </w:rPr>
        <w:t>5. Footway Reconstruction by Retread</w:t>
      </w:r>
    </w:p>
    <w:p w14:paraId="1E22291D" w14:textId="021CE745" w:rsidR="009B3D8F" w:rsidRPr="00682B2A" w:rsidRDefault="009B3D8F" w:rsidP="00F60C47">
      <w:pPr>
        <w:jc w:val="both"/>
        <w:rPr>
          <w:rFonts w:ascii="Trebuchet MS" w:hAnsi="Trebuchet MS"/>
        </w:rPr>
      </w:pPr>
      <w:r w:rsidRPr="00682B2A">
        <w:rPr>
          <w:rFonts w:ascii="Trebuchet MS" w:hAnsi="Trebuchet MS"/>
        </w:rPr>
        <w:t xml:space="preserve">Where a footway has reached a state of disintegration or needs reshaping, it is possible to employ bitumen emulsion as a means of in-situ recycling. The </w:t>
      </w:r>
      <w:r w:rsidR="00A42383">
        <w:rPr>
          <w:rFonts w:ascii="Trebuchet MS" w:hAnsi="Trebuchet MS"/>
        </w:rPr>
        <w:t>R</w:t>
      </w:r>
      <w:r w:rsidRPr="00682B2A">
        <w:rPr>
          <w:rFonts w:ascii="Trebuchet MS" w:hAnsi="Trebuchet MS"/>
        </w:rPr>
        <w:t xml:space="preserve">etread process involves scarifying the existing surface, normally to a depth of 75 mm, importing some fresh aggregate if required to adjust grading, and treating with two successive applications of emulsion. Application rates of emulsion will depend on the nature of the scarified material and must be subject to agreement between Supplier and Contractor. Special attention must be given to the final profile achieved as this is critical to the end user and is often </w:t>
      </w:r>
      <w:r w:rsidR="00A42383">
        <w:rPr>
          <w:rFonts w:ascii="Trebuchet MS" w:hAnsi="Trebuchet MS"/>
        </w:rPr>
        <w:t>c</w:t>
      </w:r>
      <w:r w:rsidRPr="00682B2A">
        <w:rPr>
          <w:rFonts w:ascii="Trebuchet MS" w:hAnsi="Trebuchet MS"/>
        </w:rPr>
        <w:t xml:space="preserve">omplicated by the smaller nature of the plant employed. Reference should also be made to REA Technical Data Sheet number 10 – The Retread </w:t>
      </w:r>
      <w:r w:rsidR="00F60C47">
        <w:rPr>
          <w:rFonts w:ascii="Trebuchet MS" w:hAnsi="Trebuchet MS"/>
        </w:rPr>
        <w:t xml:space="preserve">and Regen </w:t>
      </w:r>
      <w:r w:rsidRPr="00682B2A">
        <w:rPr>
          <w:rFonts w:ascii="Trebuchet MS" w:hAnsi="Trebuchet MS"/>
        </w:rPr>
        <w:t>Process</w:t>
      </w:r>
      <w:r w:rsidR="00F60C47">
        <w:rPr>
          <w:rFonts w:ascii="Trebuchet MS" w:hAnsi="Trebuchet MS"/>
        </w:rPr>
        <w:t>es</w:t>
      </w:r>
      <w:r w:rsidRPr="00682B2A">
        <w:rPr>
          <w:rFonts w:ascii="Trebuchet MS" w:hAnsi="Trebuchet MS"/>
        </w:rPr>
        <w:t>.</w:t>
      </w:r>
    </w:p>
    <w:p w14:paraId="4DC1502F" w14:textId="77777777" w:rsidR="009B3D8F" w:rsidRPr="00682B2A" w:rsidRDefault="009B3D8F" w:rsidP="009B3D8F">
      <w:pPr>
        <w:jc w:val="both"/>
        <w:rPr>
          <w:rFonts w:ascii="Trebuchet MS" w:hAnsi="Trebuchet MS"/>
        </w:rPr>
      </w:pPr>
    </w:p>
    <w:p w14:paraId="1D338017" w14:textId="5E606BD6" w:rsidR="009B3D8F" w:rsidRPr="00682B2A" w:rsidRDefault="009B3D8F" w:rsidP="0353BE38">
      <w:pPr>
        <w:jc w:val="both"/>
        <w:rPr>
          <w:rFonts w:ascii="Trebuchet MS" w:eastAsia="Calibri" w:hAnsi="Trebuchet MS" w:cs="Calibri"/>
          <w:b/>
          <w:bCs/>
          <w:color w:val="000000" w:themeColor="text1"/>
        </w:rPr>
      </w:pPr>
      <w:r w:rsidRPr="00682B2A">
        <w:rPr>
          <w:rFonts w:ascii="Trebuchet MS" w:hAnsi="Trebuchet MS"/>
          <w:b/>
          <w:bCs/>
        </w:rPr>
        <w:t xml:space="preserve">6. </w:t>
      </w:r>
      <w:r w:rsidR="5F6283CB" w:rsidRPr="00682B2A">
        <w:rPr>
          <w:rFonts w:ascii="Trebuchet MS" w:eastAsia="Calibri" w:hAnsi="Trebuchet MS" w:cs="Calibri"/>
          <w:b/>
          <w:bCs/>
          <w:color w:val="000000" w:themeColor="text1"/>
        </w:rPr>
        <w:t xml:space="preserve">UKCA/CE marking </w:t>
      </w:r>
    </w:p>
    <w:p w14:paraId="4264A97C" w14:textId="77777777" w:rsidR="00803ECD" w:rsidRDefault="00803ECD" w:rsidP="00803ECD">
      <w:pPr>
        <w:jc w:val="both"/>
        <w:rPr>
          <w:rFonts w:ascii="Trebuchet MS" w:hAnsi="Trebuchet MS"/>
        </w:rPr>
      </w:pPr>
      <w:r w:rsidRPr="006E3838">
        <w:rPr>
          <w:rFonts w:ascii="Trebuchet MS" w:hAnsi="Trebuchet MS"/>
        </w:rPr>
        <w:t xml:space="preserve">At the end of June 2013, the Construction Products Regulation (CPR) was fully implemented in all EU member states. Since then, Construction products covered by a harmonised European standard (EN) have a legal requirement to be CE marked </w:t>
      </w:r>
      <w:proofErr w:type="gramStart"/>
      <w:r w:rsidRPr="006E3838">
        <w:rPr>
          <w:rFonts w:ascii="Trebuchet MS" w:hAnsi="Trebuchet MS"/>
        </w:rPr>
        <w:t>in order to</w:t>
      </w:r>
      <w:proofErr w:type="gramEnd"/>
      <w:r w:rsidRPr="006E3838">
        <w:rPr>
          <w:rFonts w:ascii="Trebuchet MS" w:hAnsi="Trebuchet MS"/>
        </w:rPr>
        <w:t xml:space="preserve"> place them on the European market. The UK withdrew from the European Union in January 2020 and in January 2021 introduced its own UKCA mark</w:t>
      </w:r>
      <w:r>
        <w:rPr>
          <w:rFonts w:ascii="Trebuchet MS" w:hAnsi="Trebuchet MS"/>
        </w:rPr>
        <w:t xml:space="preserve">. A </w:t>
      </w:r>
      <w:r w:rsidRPr="006E3838">
        <w:rPr>
          <w:rFonts w:ascii="Trebuchet MS" w:hAnsi="Trebuchet MS"/>
        </w:rPr>
        <w:t xml:space="preserve">transition period for implementation of the UKCA mark </w:t>
      </w:r>
      <w:r>
        <w:rPr>
          <w:rFonts w:ascii="Trebuchet MS" w:hAnsi="Trebuchet MS"/>
        </w:rPr>
        <w:t>w</w:t>
      </w:r>
      <w:r w:rsidRPr="006E3838">
        <w:rPr>
          <w:rFonts w:ascii="Trebuchet MS" w:hAnsi="Trebuchet MS"/>
        </w:rPr>
        <w:t xml:space="preserve">as introduced </w:t>
      </w:r>
      <w:r>
        <w:rPr>
          <w:rFonts w:ascii="Trebuchet MS" w:hAnsi="Trebuchet MS"/>
        </w:rPr>
        <w:t>but this period has been extended indefinitely meaning that both CE and UKCA Marking can continue to be used.</w:t>
      </w:r>
    </w:p>
    <w:p w14:paraId="5A786269" w14:textId="77777777" w:rsidR="009B3D8F" w:rsidRPr="00682B2A" w:rsidRDefault="009B3D8F" w:rsidP="009B3D8F">
      <w:pPr>
        <w:jc w:val="both"/>
        <w:rPr>
          <w:rFonts w:ascii="Trebuchet MS" w:hAnsi="Trebuchet MS"/>
        </w:rPr>
      </w:pPr>
    </w:p>
    <w:p w14:paraId="51E190AF" w14:textId="0C2DF764" w:rsidR="009B3D8F" w:rsidRPr="00682B2A" w:rsidRDefault="009B3D8F" w:rsidP="009B3D8F">
      <w:pPr>
        <w:jc w:val="both"/>
        <w:rPr>
          <w:rFonts w:ascii="Trebuchet MS" w:hAnsi="Trebuchet MS"/>
          <w:b/>
          <w:bCs/>
          <w:i/>
          <w:iCs/>
        </w:rPr>
      </w:pPr>
      <w:r w:rsidRPr="00682B2A">
        <w:rPr>
          <w:rFonts w:ascii="Trebuchet MS" w:hAnsi="Trebuchet MS"/>
          <w:b/>
          <w:bCs/>
          <w:i/>
          <w:iCs/>
        </w:rPr>
        <w:t>References</w:t>
      </w:r>
    </w:p>
    <w:p w14:paraId="08A9F2BE" w14:textId="3C1E2ADD" w:rsidR="009B3D8F" w:rsidRPr="00682B2A" w:rsidRDefault="009B3D8F" w:rsidP="00CA636F">
      <w:pPr>
        <w:jc w:val="both"/>
        <w:rPr>
          <w:rFonts w:ascii="Trebuchet MS" w:hAnsi="Trebuchet MS"/>
        </w:rPr>
      </w:pPr>
      <w:r w:rsidRPr="00682B2A">
        <w:rPr>
          <w:rFonts w:ascii="Trebuchet MS" w:hAnsi="Trebuchet MS"/>
        </w:rPr>
        <w:t>[1] Road Note 39: Design Guide for Road Surface Dressing – published by Transport Research Laboratory</w:t>
      </w:r>
    </w:p>
    <w:p w14:paraId="3BB9437C" w14:textId="77777777" w:rsidR="00682B2A" w:rsidRPr="00682B2A" w:rsidRDefault="009B3D8F" w:rsidP="00CA636F">
      <w:pPr>
        <w:jc w:val="both"/>
        <w:rPr>
          <w:rFonts w:ascii="Trebuchet MS" w:hAnsi="Trebuchet MS"/>
          <w:b/>
          <w:bCs/>
        </w:rPr>
      </w:pPr>
      <w:r w:rsidRPr="00682B2A">
        <w:rPr>
          <w:rFonts w:ascii="Trebuchet MS" w:hAnsi="Trebuchet MS"/>
          <w:b/>
          <w:bCs/>
        </w:rPr>
        <w:t xml:space="preserve">For further information on all REA Technical Data sheets please look on the “Technical Datasheets” webpage on </w:t>
      </w:r>
      <w:hyperlink r:id="rId11" w:history="1">
        <w:r w:rsidRPr="00682B2A">
          <w:rPr>
            <w:rStyle w:val="Hyperlink"/>
            <w:rFonts w:ascii="Trebuchet MS" w:hAnsi="Trebuchet MS"/>
            <w:b/>
            <w:bCs/>
          </w:rPr>
          <w:t>www.rea.org.uk</w:t>
        </w:r>
      </w:hyperlink>
      <w:r w:rsidRPr="00682B2A">
        <w:rPr>
          <w:rFonts w:ascii="Trebuchet MS" w:hAnsi="Trebuchet MS"/>
          <w:b/>
          <w:bCs/>
        </w:rPr>
        <w:t xml:space="preserve"> </w:t>
      </w:r>
    </w:p>
    <w:p w14:paraId="7ED92F51" w14:textId="6C8B6BF3" w:rsidR="009B3D8F" w:rsidRPr="00682B2A" w:rsidRDefault="009B3D8F" w:rsidP="00CA636F">
      <w:pPr>
        <w:jc w:val="both"/>
        <w:rPr>
          <w:rFonts w:ascii="Trebuchet MS" w:hAnsi="Trebuchet MS"/>
        </w:rPr>
      </w:pPr>
      <w:r w:rsidRPr="00682B2A">
        <w:rPr>
          <w:rFonts w:ascii="Trebuchet MS" w:hAnsi="Trebuchet MS"/>
          <w:i/>
          <w:iCs/>
        </w:rPr>
        <w:t>Whilst every care is taken to ensure the accuracy of the general advice offered herein by the Road Emulsion Association, no liability or responsibility of any kind can be accepted by the Association</w:t>
      </w:r>
      <w:r w:rsidRPr="00682B2A">
        <w:rPr>
          <w:rFonts w:ascii="Trebuchet MS" w:hAnsi="Trebuchet MS"/>
        </w:rPr>
        <w:t>.</w:t>
      </w:r>
    </w:p>
    <w:sectPr w:rsidR="009B3D8F" w:rsidRPr="00682B2A">
      <w:footerReference w:type="even" r:id="rId12"/>
      <w:footerReference w:type="defaul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DE9D1" w14:textId="77777777" w:rsidR="001207D3" w:rsidRDefault="001207D3" w:rsidP="000029FC">
      <w:pPr>
        <w:spacing w:after="0" w:line="240" w:lineRule="auto"/>
      </w:pPr>
      <w:r>
        <w:separator/>
      </w:r>
    </w:p>
  </w:endnote>
  <w:endnote w:type="continuationSeparator" w:id="0">
    <w:p w14:paraId="20F585BC" w14:textId="77777777" w:rsidR="001207D3" w:rsidRDefault="001207D3" w:rsidP="00002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6407A" w14:textId="7C422B23" w:rsidR="000029FC" w:rsidRDefault="000029FC">
    <w:pPr>
      <w:pStyle w:val="Footer"/>
    </w:pPr>
    <w:r>
      <w:rPr>
        <w:noProof/>
      </w:rPr>
      <mc:AlternateContent>
        <mc:Choice Requires="wps">
          <w:drawing>
            <wp:anchor distT="0" distB="0" distL="0" distR="0" simplePos="0" relativeHeight="251658240" behindDoc="0" locked="0" layoutInCell="1" allowOverlap="1" wp14:anchorId="117DE736" wp14:editId="1E6E61A0">
              <wp:simplePos x="635" y="635"/>
              <wp:positionH relativeFrom="page">
                <wp:align>center</wp:align>
              </wp:positionH>
              <wp:positionV relativeFrom="page">
                <wp:align>bottom</wp:align>
              </wp:positionV>
              <wp:extent cx="4411980" cy="347980"/>
              <wp:effectExtent l="0" t="0" r="7620" b="0"/>
              <wp:wrapNone/>
              <wp:docPr id="1139545337" name="Text Box 2" descr="C2 - COLAS GROUP INTERNAL: Employees and partners who need to know.">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11980" cy="347980"/>
                      </a:xfrm>
                      <a:prstGeom prst="rect">
                        <a:avLst/>
                      </a:prstGeom>
                      <a:noFill/>
                      <a:ln>
                        <a:noFill/>
                      </a:ln>
                    </wps:spPr>
                    <wps:txbx>
                      <w:txbxContent>
                        <w:p w14:paraId="76F06C38" w14:textId="0074AA84" w:rsidR="000029FC" w:rsidRPr="000029FC" w:rsidRDefault="000029FC" w:rsidP="000029FC">
                          <w:pPr>
                            <w:spacing w:after="0"/>
                            <w:rPr>
                              <w:rFonts w:ascii="Arial" w:eastAsia="Arial" w:hAnsi="Arial" w:cs="Arial"/>
                              <w:noProof/>
                              <w:color w:val="29CF00"/>
                              <w:sz w:val="20"/>
                              <w:szCs w:val="20"/>
                            </w:rPr>
                          </w:pPr>
                          <w:r w:rsidRPr="000029FC">
                            <w:rPr>
                              <w:rFonts w:ascii="Arial" w:eastAsia="Arial" w:hAnsi="Arial" w:cs="Arial"/>
                              <w:noProof/>
                              <w:color w:val="29CF00"/>
                              <w:sz w:val="20"/>
                              <w:szCs w:val="20"/>
                            </w:rPr>
                            <w:t>C2 - COLAS GROUP INTERNAL: Employees and partners who need to know.</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7DE736" id="_x0000_t202" coordsize="21600,21600" o:spt="202" path="m,l,21600r21600,l21600,xe">
              <v:stroke joinstyle="miter"/>
              <v:path gradientshapeok="t" o:connecttype="rect"/>
            </v:shapetype>
            <v:shape id="Text Box 2" o:spid="_x0000_s1026" type="#_x0000_t202" alt="C2 - COLAS GROUP INTERNAL: Employees and partners who need to know." style="position:absolute;margin-left:0;margin-top:0;width:347.4pt;height:27.4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" filled="f" stroked="f">
              <v:fill o:detectmouseclick="t"/>
              <v:textbox style="mso-fit-shape-to-text:t" inset="0,0,0,15pt">
                <w:txbxContent>
                  <w:p w14:paraId="76F06C38" w14:textId="0074AA84" w:rsidR="000029FC" w:rsidRPr="000029FC" w:rsidRDefault="000029FC" w:rsidP="000029FC">
                    <w:pPr>
                      <w:spacing w:after="0"/>
                      <w:rPr>
                        <w:rFonts w:ascii="Arial" w:eastAsia="Arial" w:hAnsi="Arial" w:cs="Arial"/>
                        <w:noProof/>
                        <w:color w:val="29CF00"/>
                        <w:sz w:val="20"/>
                        <w:szCs w:val="20"/>
                      </w:rPr>
                    </w:pPr>
                    <w:r w:rsidRPr="000029FC">
                      <w:rPr>
                        <w:rFonts w:ascii="Arial" w:eastAsia="Arial" w:hAnsi="Arial" w:cs="Arial"/>
                        <w:noProof/>
                        <w:color w:val="29CF00"/>
                        <w:sz w:val="20"/>
                        <w:szCs w:val="20"/>
                      </w:rPr>
                      <w:t>C2 - COLAS GROUP INTERNAL: Employees and partners who need to know.</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06940" w14:textId="2C3D92AB" w:rsidR="000029FC" w:rsidRDefault="000029FC">
    <w:pPr>
      <w:pStyle w:val="Footer"/>
    </w:pPr>
    <w:r>
      <w:rPr>
        <w:noProof/>
      </w:rPr>
      <mc:AlternateContent>
        <mc:Choice Requires="wps">
          <w:drawing>
            <wp:anchor distT="0" distB="0" distL="0" distR="0" simplePos="0" relativeHeight="251658241" behindDoc="0" locked="0" layoutInCell="1" allowOverlap="1" wp14:anchorId="51307413" wp14:editId="0197E62D">
              <wp:simplePos x="635" y="635"/>
              <wp:positionH relativeFrom="page">
                <wp:align>center</wp:align>
              </wp:positionH>
              <wp:positionV relativeFrom="page">
                <wp:align>bottom</wp:align>
              </wp:positionV>
              <wp:extent cx="4411980" cy="347980"/>
              <wp:effectExtent l="0" t="0" r="7620" b="0"/>
              <wp:wrapNone/>
              <wp:docPr id="334650529" name="Text Box 3" descr="C2 - COLAS GROUP INTERNAL: Employees and partners who need to know.">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11980" cy="347980"/>
                      </a:xfrm>
                      <a:prstGeom prst="rect">
                        <a:avLst/>
                      </a:prstGeom>
                      <a:noFill/>
                      <a:ln>
                        <a:noFill/>
                      </a:ln>
                    </wps:spPr>
                    <wps:txbx>
                      <w:txbxContent>
                        <w:p w14:paraId="63C7946B" w14:textId="7A95AA4E" w:rsidR="000029FC" w:rsidRPr="000029FC" w:rsidRDefault="000029FC" w:rsidP="000029FC">
                          <w:pPr>
                            <w:spacing w:after="0"/>
                            <w:rPr>
                              <w:rFonts w:ascii="Arial" w:eastAsia="Arial" w:hAnsi="Arial" w:cs="Arial"/>
                              <w:noProof/>
                              <w:color w:val="29CF00"/>
                              <w:sz w:val="20"/>
                              <w:szCs w:val="20"/>
                            </w:rPr>
                          </w:pPr>
                          <w:r w:rsidRPr="000029FC">
                            <w:rPr>
                              <w:rFonts w:ascii="Arial" w:eastAsia="Arial" w:hAnsi="Arial" w:cs="Arial"/>
                              <w:noProof/>
                              <w:color w:val="29CF00"/>
                              <w:sz w:val="20"/>
                              <w:szCs w:val="20"/>
                            </w:rPr>
                            <w:t>C2 - COLAS GROUP INTERNAL: Employees and partners who need to know.</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307413" id="_x0000_t202" coordsize="21600,21600" o:spt="202" path="m,l,21600r21600,l21600,xe">
              <v:stroke joinstyle="miter"/>
              <v:path gradientshapeok="t" o:connecttype="rect"/>
            </v:shapetype>
            <v:shape id="Text Box 3" o:spid="_x0000_s1027" type="#_x0000_t202" alt="C2 - COLAS GROUP INTERNAL: Employees and partners who need to know." style="position:absolute;margin-left:0;margin-top:0;width:347.4pt;height:27.4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" filled="f" stroked="f">
              <v:fill o:detectmouseclick="t"/>
              <v:textbox style="mso-fit-shape-to-text:t" inset="0,0,0,15pt">
                <w:txbxContent>
                  <w:p w14:paraId="63C7946B" w14:textId="7A95AA4E" w:rsidR="000029FC" w:rsidRPr="000029FC" w:rsidRDefault="000029FC" w:rsidP="000029FC">
                    <w:pPr>
                      <w:spacing w:after="0"/>
                      <w:rPr>
                        <w:rFonts w:ascii="Arial" w:eastAsia="Arial" w:hAnsi="Arial" w:cs="Arial"/>
                        <w:noProof/>
                        <w:color w:val="29CF00"/>
                        <w:sz w:val="20"/>
                        <w:szCs w:val="20"/>
                      </w:rPr>
                    </w:pPr>
                    <w:r w:rsidRPr="000029FC">
                      <w:rPr>
                        <w:rFonts w:ascii="Arial" w:eastAsia="Arial" w:hAnsi="Arial" w:cs="Arial"/>
                        <w:noProof/>
                        <w:color w:val="29CF00"/>
                        <w:sz w:val="20"/>
                        <w:szCs w:val="20"/>
                      </w:rPr>
                      <w:t>C2 - COLAS GROUP INTERNAL: Employees and partners who need to know.</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27EC8" w14:textId="57299137" w:rsidR="000029FC" w:rsidRDefault="000029FC">
    <w:pPr>
      <w:pStyle w:val="Footer"/>
    </w:pPr>
    <w:r>
      <w:rPr>
        <w:noProof/>
      </w:rPr>
      <mc:AlternateContent>
        <mc:Choice Requires="wps">
          <w:drawing>
            <wp:anchor distT="0" distB="0" distL="0" distR="0" simplePos="0" relativeHeight="251658242" behindDoc="0" locked="0" layoutInCell="1" allowOverlap="1" wp14:anchorId="70B4CE68" wp14:editId="3B1DAA00">
              <wp:simplePos x="635" y="635"/>
              <wp:positionH relativeFrom="page">
                <wp:align>center</wp:align>
              </wp:positionH>
              <wp:positionV relativeFrom="page">
                <wp:align>bottom</wp:align>
              </wp:positionV>
              <wp:extent cx="4411980" cy="347980"/>
              <wp:effectExtent l="0" t="0" r="7620" b="0"/>
              <wp:wrapNone/>
              <wp:docPr id="221027606" name="Text Box 1" descr="C2 - COLAS GROUP INTERNAL: Employees and partners who need to know.">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11980" cy="347980"/>
                      </a:xfrm>
                      <a:prstGeom prst="rect">
                        <a:avLst/>
                      </a:prstGeom>
                      <a:noFill/>
                      <a:ln>
                        <a:noFill/>
                      </a:ln>
                    </wps:spPr>
                    <wps:txbx>
                      <w:txbxContent>
                        <w:p w14:paraId="7ABCFD65" w14:textId="3F51FF28" w:rsidR="000029FC" w:rsidRPr="000029FC" w:rsidRDefault="000029FC" w:rsidP="000029FC">
                          <w:pPr>
                            <w:spacing w:after="0"/>
                            <w:rPr>
                              <w:rFonts w:ascii="Arial" w:eastAsia="Arial" w:hAnsi="Arial" w:cs="Arial"/>
                              <w:noProof/>
                              <w:color w:val="29CF00"/>
                              <w:sz w:val="20"/>
                              <w:szCs w:val="20"/>
                            </w:rPr>
                          </w:pPr>
                          <w:r w:rsidRPr="000029FC">
                            <w:rPr>
                              <w:rFonts w:ascii="Arial" w:eastAsia="Arial" w:hAnsi="Arial" w:cs="Arial"/>
                              <w:noProof/>
                              <w:color w:val="29CF00"/>
                              <w:sz w:val="20"/>
                              <w:szCs w:val="20"/>
                            </w:rPr>
                            <w:t>C2 - COLAS GROUP INTERNAL: Employees and partners who need to know.</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B4CE68" id="_x0000_t202" coordsize="21600,21600" o:spt="202" path="m,l,21600r21600,l21600,xe">
              <v:stroke joinstyle="miter"/>
              <v:path gradientshapeok="t" o:connecttype="rect"/>
            </v:shapetype>
            <v:shape id="Text Box 1" o:spid="_x0000_s1028" type="#_x0000_t202" alt="C2 - COLAS GROUP INTERNAL: Employees and partners who need to know." style="position:absolute;margin-left:0;margin-top:0;width:347.4pt;height:27.4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" filled="f" stroked="f">
              <v:fill o:detectmouseclick="t"/>
              <v:textbox style="mso-fit-shape-to-text:t" inset="0,0,0,15pt">
                <w:txbxContent>
                  <w:p w14:paraId="7ABCFD65" w14:textId="3F51FF28" w:rsidR="000029FC" w:rsidRPr="000029FC" w:rsidRDefault="000029FC" w:rsidP="000029FC">
                    <w:pPr>
                      <w:spacing w:after="0"/>
                      <w:rPr>
                        <w:rFonts w:ascii="Arial" w:eastAsia="Arial" w:hAnsi="Arial" w:cs="Arial"/>
                        <w:noProof/>
                        <w:color w:val="29CF00"/>
                        <w:sz w:val="20"/>
                        <w:szCs w:val="20"/>
                      </w:rPr>
                    </w:pPr>
                    <w:r w:rsidRPr="000029FC">
                      <w:rPr>
                        <w:rFonts w:ascii="Arial" w:eastAsia="Arial" w:hAnsi="Arial" w:cs="Arial"/>
                        <w:noProof/>
                        <w:color w:val="29CF00"/>
                        <w:sz w:val="20"/>
                        <w:szCs w:val="20"/>
                      </w:rPr>
                      <w:t>C2 - COLAS GROUP INTERNAL: Employees and partners who need to know.</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288E2" w14:textId="77777777" w:rsidR="001207D3" w:rsidRDefault="001207D3" w:rsidP="000029FC">
      <w:pPr>
        <w:spacing w:after="0" w:line="240" w:lineRule="auto"/>
      </w:pPr>
      <w:r>
        <w:separator/>
      </w:r>
    </w:p>
  </w:footnote>
  <w:footnote w:type="continuationSeparator" w:id="0">
    <w:p w14:paraId="2E5743DE" w14:textId="77777777" w:rsidR="001207D3" w:rsidRDefault="001207D3" w:rsidP="000029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D8F"/>
    <w:rsid w:val="000029FC"/>
    <w:rsid w:val="000D51D2"/>
    <w:rsid w:val="000D5AA2"/>
    <w:rsid w:val="001207D3"/>
    <w:rsid w:val="00206E3F"/>
    <w:rsid w:val="00254E67"/>
    <w:rsid w:val="002E35A1"/>
    <w:rsid w:val="002F2EAA"/>
    <w:rsid w:val="00383E40"/>
    <w:rsid w:val="003E5DAE"/>
    <w:rsid w:val="00455983"/>
    <w:rsid w:val="004B2183"/>
    <w:rsid w:val="004B6AA6"/>
    <w:rsid w:val="0058051A"/>
    <w:rsid w:val="005C4CBE"/>
    <w:rsid w:val="005D48E0"/>
    <w:rsid w:val="00682B2A"/>
    <w:rsid w:val="006843D3"/>
    <w:rsid w:val="006A4D45"/>
    <w:rsid w:val="006B6F97"/>
    <w:rsid w:val="00775014"/>
    <w:rsid w:val="00784432"/>
    <w:rsid w:val="007E21E5"/>
    <w:rsid w:val="00803ECD"/>
    <w:rsid w:val="0084369A"/>
    <w:rsid w:val="00875EB4"/>
    <w:rsid w:val="009B3D8F"/>
    <w:rsid w:val="00A42383"/>
    <w:rsid w:val="00A4765B"/>
    <w:rsid w:val="00A5244D"/>
    <w:rsid w:val="00AA3A09"/>
    <w:rsid w:val="00BC44F0"/>
    <w:rsid w:val="00BC6DE7"/>
    <w:rsid w:val="00C558B4"/>
    <w:rsid w:val="00C81781"/>
    <w:rsid w:val="00CA636F"/>
    <w:rsid w:val="00CE61E3"/>
    <w:rsid w:val="00D17EFE"/>
    <w:rsid w:val="00D251DC"/>
    <w:rsid w:val="00D75C99"/>
    <w:rsid w:val="00DA50F3"/>
    <w:rsid w:val="00E05F14"/>
    <w:rsid w:val="00ED6B22"/>
    <w:rsid w:val="00F5789A"/>
    <w:rsid w:val="00F60C47"/>
    <w:rsid w:val="00FE1BEB"/>
    <w:rsid w:val="00FF27A6"/>
    <w:rsid w:val="0353BE38"/>
    <w:rsid w:val="0E96E8F1"/>
    <w:rsid w:val="1B5E4E55"/>
    <w:rsid w:val="2C683512"/>
    <w:rsid w:val="46EA7E0B"/>
    <w:rsid w:val="48290DA8"/>
    <w:rsid w:val="531E3264"/>
    <w:rsid w:val="5F6283CB"/>
    <w:rsid w:val="63E341B3"/>
    <w:rsid w:val="74E43ECB"/>
    <w:rsid w:val="75F57D7F"/>
    <w:rsid w:val="7FA26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43A45"/>
  <w15:chartTrackingRefBased/>
  <w15:docId w15:val="{7F98790E-4E1F-4174-BE99-4A8A84CB8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3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3D8F"/>
    <w:rPr>
      <w:color w:val="0563C1" w:themeColor="hyperlink"/>
      <w:u w:val="single"/>
    </w:rPr>
  </w:style>
  <w:style w:type="character" w:styleId="UnresolvedMention">
    <w:name w:val="Unresolved Mention"/>
    <w:basedOn w:val="DefaultParagraphFont"/>
    <w:uiPriority w:val="99"/>
    <w:semiHidden/>
    <w:unhideWhenUsed/>
    <w:rsid w:val="009B3D8F"/>
    <w:rPr>
      <w:color w:val="605E5C"/>
      <w:shd w:val="clear" w:color="auto" w:fill="E1DFDD"/>
    </w:rPr>
  </w:style>
  <w:style w:type="paragraph" w:customStyle="1" w:styleId="TableParagraph">
    <w:name w:val="Table Paragraph"/>
    <w:basedOn w:val="Normal"/>
    <w:uiPriority w:val="1"/>
    <w:qFormat/>
    <w:rsid w:val="00206E3F"/>
    <w:pPr>
      <w:widowControl w:val="0"/>
      <w:autoSpaceDE w:val="0"/>
      <w:autoSpaceDN w:val="0"/>
      <w:spacing w:after="0" w:line="240" w:lineRule="auto"/>
      <w:ind w:left="107"/>
    </w:pPr>
    <w:rPr>
      <w:rFonts w:ascii="Trebuchet MS" w:eastAsia="Trebuchet MS" w:hAnsi="Trebuchet MS" w:cs="Trebuchet MS"/>
      <w:lang w:val="en-US"/>
    </w:rPr>
  </w:style>
  <w:style w:type="paragraph" w:styleId="NoSpacing">
    <w:name w:val="No Spacing"/>
    <w:uiPriority w:val="1"/>
    <w:qFormat/>
    <w:rsid w:val="00682B2A"/>
    <w:pPr>
      <w:spacing w:after="0" w:line="240" w:lineRule="auto"/>
    </w:pPr>
  </w:style>
  <w:style w:type="paragraph" w:styleId="Footer">
    <w:name w:val="footer"/>
    <w:basedOn w:val="Normal"/>
    <w:link w:val="FooterChar"/>
    <w:uiPriority w:val="99"/>
    <w:unhideWhenUsed/>
    <w:rsid w:val="000029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29FC"/>
  </w:style>
  <w:style w:type="paragraph" w:styleId="Header">
    <w:name w:val="header"/>
    <w:basedOn w:val="Normal"/>
    <w:link w:val="HeaderChar"/>
    <w:uiPriority w:val="99"/>
    <w:semiHidden/>
    <w:unhideWhenUsed/>
    <w:rsid w:val="002F2EA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F2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ea.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B7E44D7653474F8062AD9B52C46E58" ma:contentTypeVersion="15" ma:contentTypeDescription="Crée un document." ma:contentTypeScope="" ma:versionID="46e2249f3d599d8b6aa113c5935ea2c2">
  <xsd:schema xmlns:xsd="http://www.w3.org/2001/XMLSchema" xmlns:xs="http://www.w3.org/2001/XMLSchema" xmlns:p="http://schemas.microsoft.com/office/2006/metadata/properties" xmlns:ns3="3bfd5da4-30ba-4d88-98e1-963edc390054" xmlns:ns4="697bd8e3-c2b3-4dd0-a3b8-6935f6d49a30" targetNamespace="http://schemas.microsoft.com/office/2006/metadata/properties" ma:root="true" ma:fieldsID="9f365f4487d471e5e465d9121eee1886" ns3:_="" ns4:_="">
    <xsd:import namespace="3bfd5da4-30ba-4d88-98e1-963edc390054"/>
    <xsd:import namespace="697bd8e3-c2b3-4dd0-a3b8-6935f6d49a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d5da4-30ba-4d88-98e1-963edc390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7bd8e3-c2b3-4dd0-a3b8-6935f6d49a30"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bfd5da4-30ba-4d88-98e1-963edc390054" xsi:nil="true"/>
  </documentManagement>
</p:properties>
</file>

<file path=customXml/itemProps1.xml><?xml version="1.0" encoding="utf-8"?>
<ds:datastoreItem xmlns:ds="http://schemas.openxmlformats.org/officeDocument/2006/customXml" ds:itemID="{3D31126E-B72A-41E2-BEB6-776BF793B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d5da4-30ba-4d88-98e1-963edc390054"/>
    <ds:schemaRef ds:uri="697bd8e3-c2b3-4dd0-a3b8-6935f6d49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1B92E3-0791-488D-931E-89BEE1319333}">
  <ds:schemaRefs>
    <ds:schemaRef ds:uri="http://schemas.microsoft.com/sharepoint/v3/contenttype/forms"/>
  </ds:schemaRefs>
</ds:datastoreItem>
</file>

<file path=customXml/itemProps3.xml><?xml version="1.0" encoding="utf-8"?>
<ds:datastoreItem xmlns:ds="http://schemas.openxmlformats.org/officeDocument/2006/customXml" ds:itemID="{A408A4B2-6697-48B0-AF21-FB2E49BAE78B}">
  <ds:schemaRefs>
    <ds:schemaRef ds:uri="http://schemas.microsoft.com/office/2006/metadata/properties"/>
    <ds:schemaRef ds:uri="http://schemas.microsoft.com/office/infopath/2007/PartnerControls"/>
    <ds:schemaRef ds:uri="3bfd5da4-30ba-4d88-98e1-963edc390054"/>
  </ds:schemaRefs>
</ds:datastoreItem>
</file>

<file path=docMetadata/LabelInfo.xml><?xml version="1.0" encoding="utf-8"?>
<clbl:labelList xmlns:clbl="http://schemas.microsoft.com/office/2020/mipLabelMetadata">
  <clbl:label id="{df64902a-104a-4642-a461-a3d9eb3752f4}" enabled="1" method="Standard" siteId="{be0be093-a2ad-444c-93d9-5626e83beefc}" removed="0"/>
</clbl:labelList>
</file>

<file path=docProps/app.xml><?xml version="1.0" encoding="utf-8"?>
<Properties xmlns="http://schemas.openxmlformats.org/officeDocument/2006/extended-properties" xmlns:vt="http://schemas.openxmlformats.org/officeDocument/2006/docPropsVTypes">
  <Template>Normal.dotm</Template>
  <TotalTime>229</TotalTime>
  <Pages>4</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CADEL, Paul (Colas Ltd)</dc:creator>
  <cp:keywords/>
  <dc:description/>
  <cp:lastModifiedBy>CADEL, Paul (Colas Ltd)</cp:lastModifiedBy>
  <cp:revision>42</cp:revision>
  <cp:lastPrinted>2025-08-05T13:07:00Z</cp:lastPrinted>
  <dcterms:created xsi:type="dcterms:W3CDTF">2023-05-01T14:08:00Z</dcterms:created>
  <dcterms:modified xsi:type="dcterms:W3CDTF">2025-08-05T15:34:00Z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b95ba9-d50e-4074-b623-0a9711dc916f_Enabled">
    <vt:lpwstr>true</vt:lpwstr>
  </property>
  <property fmtid="{D5CDD505-2E9C-101B-9397-08002B2CF9AE}" pid="3" name="MSIP_Label_06b95ba9-d50e-4074-b623-0a9711dc916f_SetDate">
    <vt:lpwstr>2023-05-01T14:08:05Z</vt:lpwstr>
  </property>
  <property fmtid="{D5CDD505-2E9C-101B-9397-08002B2CF9AE}" pid="4" name="MSIP_Label_06b95ba9-d50e-4074-b623-0a9711dc916f_Method">
    <vt:lpwstr>Standard</vt:lpwstr>
  </property>
  <property fmtid="{D5CDD505-2E9C-101B-9397-08002B2CF9AE}" pid="5" name="MSIP_Label_06b95ba9-d50e-4074-b623-0a9711dc916f_Name">
    <vt:lpwstr>[Public]</vt:lpwstr>
  </property>
  <property fmtid="{D5CDD505-2E9C-101B-9397-08002B2CF9AE}" pid="6" name="MSIP_Label_06b95ba9-d50e-4074-b623-0a9711dc916f_SiteId">
    <vt:lpwstr>be0be093-a2ad-444c-93d9-5626e83beefc</vt:lpwstr>
  </property>
  <property fmtid="{D5CDD505-2E9C-101B-9397-08002B2CF9AE}" pid="7" name="MSIP_Label_06b95ba9-d50e-4074-b623-0a9711dc916f_ActionId">
    <vt:lpwstr>cb8b7e0d-241e-4348-aa7e-8f6097b64fa9</vt:lpwstr>
  </property>
  <property fmtid="{D5CDD505-2E9C-101B-9397-08002B2CF9AE}" pid="8" name="MSIP_Label_06b95ba9-d50e-4074-b623-0a9711dc916f_ContentBits">
    <vt:lpwstr>0</vt:lpwstr>
  </property>
  <property fmtid="{D5CDD505-2E9C-101B-9397-08002B2CF9AE}" pid="9" name="ContentTypeId">
    <vt:lpwstr>0x01010016B7E44D7653474F8062AD9B52C46E58</vt:lpwstr>
  </property>
  <property fmtid="{D5CDD505-2E9C-101B-9397-08002B2CF9AE}" pid="10" name="ClassificationContentMarkingFooterShapeIds">
    <vt:lpwstr>d2c9d16,43ec14f9,13f25ca1</vt:lpwstr>
  </property>
  <property fmtid="{D5CDD505-2E9C-101B-9397-08002B2CF9AE}" pid="11" name="ClassificationContentMarkingFooterFontProps">
    <vt:lpwstr>#29cf00,10,Arial</vt:lpwstr>
  </property>
  <property fmtid="{D5CDD505-2E9C-101B-9397-08002B2CF9AE}" pid="12" name="ClassificationContentMarkingFooterText">
    <vt:lpwstr>C2 - COLAS GROUP INTERNAL: Employees and partners who need to know.</vt:lpwstr>
  </property>
</Properties>
</file>