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943"/>
      </w:tblGrid>
      <w:tr w:rsidR="002B1645" w14:paraId="574B3F93" w14:textId="77777777" w:rsidTr="00DD72F1">
        <w:trPr>
          <w:trHeight w:val="1506"/>
        </w:trPr>
        <w:tc>
          <w:tcPr>
            <w:tcW w:w="2988" w:type="dxa"/>
          </w:tcPr>
          <w:p w14:paraId="38D46A7C" w14:textId="77777777" w:rsidR="002B1645" w:rsidRDefault="002B1645" w:rsidP="00DD72F1">
            <w:pPr>
              <w:pStyle w:val="TableParagraph"/>
              <w:spacing w:before="1"/>
              <w:ind w:left="0"/>
              <w:rPr>
                <w:rFonts w:ascii="Times New Roman"/>
                <w:sz w:val="7"/>
              </w:rPr>
            </w:pPr>
          </w:p>
          <w:p w14:paraId="4805D8D5" w14:textId="77777777" w:rsidR="002B1645" w:rsidRDefault="002B1645" w:rsidP="00DD72F1">
            <w:pPr>
              <w:pStyle w:val="TableParagraph"/>
              <w:ind w:left="158"/>
              <w:rPr>
                <w:rFonts w:ascii="Times New Roman"/>
                <w:sz w:val="20"/>
              </w:rPr>
            </w:pPr>
            <w:r>
              <w:rPr>
                <w:rFonts w:ascii="Times New Roman"/>
                <w:noProof/>
                <w:sz w:val="20"/>
              </w:rPr>
              <w:drawing>
                <wp:inline distT="0" distB="0" distL="0" distR="0" wp14:anchorId="7CD2C656" wp14:editId="3D0FCC93">
                  <wp:extent cx="1614030" cy="595883"/>
                  <wp:effectExtent l="0" t="0" r="0" b="0"/>
                  <wp:docPr id="1" name="image1.png" descr="A picture containing font, text, graphics,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font, text, graphics, green&#10;&#10;Description automatically generated"/>
                          <pic:cNvPicPr/>
                        </pic:nvPicPr>
                        <pic:blipFill>
                          <a:blip r:embed="rId11" cstate="print"/>
                          <a:stretch>
                            <a:fillRect/>
                          </a:stretch>
                        </pic:blipFill>
                        <pic:spPr>
                          <a:xfrm>
                            <a:off x="0" y="0"/>
                            <a:ext cx="1614030" cy="595883"/>
                          </a:xfrm>
                          <a:prstGeom prst="rect">
                            <a:avLst/>
                          </a:prstGeom>
                        </pic:spPr>
                      </pic:pic>
                    </a:graphicData>
                  </a:graphic>
                </wp:inline>
              </w:drawing>
            </w:r>
          </w:p>
        </w:tc>
        <w:tc>
          <w:tcPr>
            <w:tcW w:w="5943" w:type="dxa"/>
          </w:tcPr>
          <w:p w14:paraId="235C4FA7" w14:textId="7A3F03D0" w:rsidR="002B1645" w:rsidRPr="00262AD6" w:rsidRDefault="002B1645" w:rsidP="00DD72F1">
            <w:pPr>
              <w:pStyle w:val="NoSpacing"/>
              <w:rPr>
                <w:rFonts w:ascii="Trebuchet MS" w:eastAsia="Trebuchet MS" w:hAnsi="Trebuchet MS" w:cs="Trebuchet MS"/>
                <w:b/>
                <w:sz w:val="32"/>
                <w:lang w:val="en-US"/>
              </w:rPr>
            </w:pPr>
            <w:r w:rsidRPr="00262AD6">
              <w:rPr>
                <w:rFonts w:ascii="Trebuchet MS" w:eastAsia="Trebuchet MS" w:hAnsi="Trebuchet MS" w:cs="Trebuchet MS"/>
                <w:b/>
                <w:sz w:val="32"/>
                <w:lang w:val="en-US"/>
              </w:rPr>
              <w:t xml:space="preserve">Technical Data Sheet No.8 </w:t>
            </w:r>
          </w:p>
          <w:p w14:paraId="3B322281" w14:textId="77777777" w:rsidR="002B1645" w:rsidRPr="00531D1B" w:rsidRDefault="002B1645" w:rsidP="00DD72F1">
            <w:pPr>
              <w:pStyle w:val="NoSpacing"/>
              <w:rPr>
                <w:rFonts w:ascii="Trebuchet MS" w:eastAsia="Trebuchet MS" w:hAnsi="Trebuchet MS" w:cs="Trebuchet MS"/>
                <w:b/>
                <w:color w:val="87BE2A"/>
                <w:sz w:val="32"/>
                <w:lang w:val="en-US"/>
              </w:rPr>
            </w:pPr>
            <w:r w:rsidRPr="00531D1B">
              <w:rPr>
                <w:rFonts w:ascii="Trebuchet MS" w:eastAsia="Trebuchet MS" w:hAnsi="Trebuchet MS" w:cs="Trebuchet MS"/>
                <w:b/>
                <w:color w:val="87BE2A"/>
                <w:sz w:val="32"/>
                <w:lang w:val="en-US"/>
              </w:rPr>
              <w:t xml:space="preserve">Patching, Grouting and Spray Injection Patching </w:t>
            </w:r>
          </w:p>
          <w:p w14:paraId="6EE4B6F1" w14:textId="2B5CC660" w:rsidR="002B1645" w:rsidRPr="00682B2A" w:rsidRDefault="002B1645" w:rsidP="00DD72F1">
            <w:pPr>
              <w:pStyle w:val="NoSpacing"/>
              <w:rPr>
                <w:rFonts w:ascii="Trebuchet MS" w:hAnsi="Trebuchet MS"/>
                <w:sz w:val="20"/>
              </w:rPr>
            </w:pPr>
            <w:r w:rsidRPr="003A35AE">
              <w:rPr>
                <w:rFonts w:ascii="Trebuchet MS" w:eastAsia="Trebuchet MS" w:hAnsi="Trebuchet MS" w:cs="Trebuchet MS"/>
                <w:sz w:val="20"/>
                <w:lang w:val="en-US"/>
              </w:rPr>
              <w:t xml:space="preserve">Revised by the Association’s Technical Committee - </w:t>
            </w:r>
            <w:r w:rsidR="002C0D7D">
              <w:rPr>
                <w:rFonts w:ascii="Trebuchet MS" w:eastAsia="Trebuchet MS" w:hAnsi="Trebuchet MS" w:cs="Trebuchet MS"/>
                <w:sz w:val="20"/>
                <w:lang w:val="en-US"/>
              </w:rPr>
              <w:t>August</w:t>
            </w:r>
            <w:r w:rsidRPr="003A35AE">
              <w:rPr>
                <w:rFonts w:ascii="Trebuchet MS" w:eastAsia="Trebuchet MS" w:hAnsi="Trebuchet MS" w:cs="Trebuchet MS"/>
                <w:sz w:val="20"/>
                <w:lang w:val="en-US"/>
              </w:rPr>
              <w:t xml:space="preserve"> 202</w:t>
            </w:r>
            <w:r w:rsidR="00D40DEA">
              <w:rPr>
                <w:rFonts w:ascii="Trebuchet MS" w:eastAsia="Trebuchet MS" w:hAnsi="Trebuchet MS" w:cs="Trebuchet MS"/>
                <w:sz w:val="20"/>
                <w:lang w:val="en-US"/>
              </w:rPr>
              <w:t>5</w:t>
            </w:r>
          </w:p>
        </w:tc>
      </w:tr>
    </w:tbl>
    <w:p w14:paraId="4915A385" w14:textId="77777777" w:rsidR="002B1645" w:rsidRDefault="002B1645" w:rsidP="002B1645">
      <w:pPr>
        <w:rPr>
          <w:rFonts w:ascii="Trebuchet MS" w:hAnsi="Trebuchet MS"/>
        </w:rPr>
      </w:pPr>
    </w:p>
    <w:p w14:paraId="5BF2AD28" w14:textId="7DC0B8D7" w:rsidR="008E45EB" w:rsidRPr="009E5F15" w:rsidRDefault="002B1645" w:rsidP="009E5F15">
      <w:pPr>
        <w:pStyle w:val="ListParagraph"/>
        <w:numPr>
          <w:ilvl w:val="0"/>
          <w:numId w:val="4"/>
        </w:numPr>
        <w:ind w:left="360"/>
        <w:rPr>
          <w:rFonts w:ascii="Trebuchet MS" w:hAnsi="Trebuchet MS"/>
          <w:b/>
          <w:bCs/>
        </w:rPr>
      </w:pPr>
      <w:r w:rsidRPr="009E5F15">
        <w:rPr>
          <w:rFonts w:ascii="Trebuchet MS" w:hAnsi="Trebuchet MS"/>
          <w:b/>
          <w:bCs/>
        </w:rPr>
        <w:t>Int</w:t>
      </w:r>
      <w:r w:rsidR="009E5F15" w:rsidRPr="009E5F15">
        <w:rPr>
          <w:rFonts w:ascii="Trebuchet MS" w:hAnsi="Trebuchet MS"/>
          <w:b/>
          <w:bCs/>
        </w:rPr>
        <w:t>r</w:t>
      </w:r>
      <w:r w:rsidRPr="009E5F15">
        <w:rPr>
          <w:rFonts w:ascii="Trebuchet MS" w:hAnsi="Trebuchet MS"/>
          <w:b/>
          <w:bCs/>
        </w:rPr>
        <w:t>o</w:t>
      </w:r>
      <w:r w:rsidR="008E45EB" w:rsidRPr="009E5F15">
        <w:rPr>
          <w:rFonts w:ascii="Trebuchet MS" w:hAnsi="Trebuchet MS"/>
          <w:b/>
          <w:bCs/>
        </w:rPr>
        <w:t xml:space="preserve">duction </w:t>
      </w:r>
    </w:p>
    <w:p w14:paraId="5604736D" w14:textId="77777777" w:rsidR="008E45EB" w:rsidRPr="007817B3" w:rsidRDefault="008E45EB" w:rsidP="00DF71F8">
      <w:pPr>
        <w:jc w:val="both"/>
        <w:rPr>
          <w:rFonts w:ascii="Trebuchet MS" w:hAnsi="Trebuchet MS"/>
        </w:rPr>
      </w:pPr>
      <w:r w:rsidRPr="007817B3">
        <w:rPr>
          <w:rFonts w:ascii="Trebuchet MS" w:hAnsi="Trebuchet MS"/>
        </w:rPr>
        <w:t xml:space="preserve">Patching and Grouting are two important construction and maintenance techniques, applicable to carriageways and footways, which capitalise on the versatility of bitumen emulsion. The </w:t>
      </w:r>
      <w:proofErr w:type="gramStart"/>
      <w:r w:rsidRPr="007817B3">
        <w:rPr>
          <w:rFonts w:ascii="Trebuchet MS" w:hAnsi="Trebuchet MS"/>
        </w:rPr>
        <w:t>particular properties</w:t>
      </w:r>
      <w:proofErr w:type="gramEnd"/>
      <w:r w:rsidRPr="007817B3">
        <w:rPr>
          <w:rFonts w:ascii="Trebuchet MS" w:hAnsi="Trebuchet MS"/>
        </w:rPr>
        <w:t xml:space="preserve"> of emulsions that are exploited in these techniques are their ability to be used cold, to penetrate substrates and to coat dry or damp aggregate in depth. After curing, the residual bitumen binder provides excellent cohesive strength. </w:t>
      </w:r>
    </w:p>
    <w:p w14:paraId="68D1FB76" w14:textId="77777777" w:rsidR="008E45EB" w:rsidRPr="007817B3" w:rsidRDefault="008E45EB" w:rsidP="00DF71F8">
      <w:pPr>
        <w:jc w:val="both"/>
        <w:rPr>
          <w:rFonts w:ascii="Trebuchet MS" w:hAnsi="Trebuchet MS"/>
        </w:rPr>
      </w:pPr>
      <w:r w:rsidRPr="007817B3">
        <w:rPr>
          <w:rFonts w:ascii="Trebuchet MS" w:hAnsi="Trebuchet MS"/>
        </w:rPr>
        <w:t xml:space="preserve">Patching refers to the repair of cracks, crazing, potholes and depressions, and is an effective treatment prior to surface dressing. Bitumen emulsion is used as a bond coat when conventional macadams are involved. Proprietary brushing grades can be used as a replacement for hot bitumen as an edge sealant. </w:t>
      </w:r>
    </w:p>
    <w:p w14:paraId="18DE06ED" w14:textId="77777777" w:rsidR="008E45EB" w:rsidRPr="007817B3" w:rsidRDefault="008E45EB" w:rsidP="00DF71F8">
      <w:pPr>
        <w:jc w:val="both"/>
        <w:rPr>
          <w:rFonts w:ascii="Trebuchet MS" w:hAnsi="Trebuchet MS"/>
        </w:rPr>
      </w:pPr>
      <w:r w:rsidRPr="007817B3">
        <w:rPr>
          <w:rFonts w:ascii="Trebuchet MS" w:hAnsi="Trebuchet MS"/>
        </w:rPr>
        <w:t xml:space="preserve">Grouting is a process involving the construction or stabilisation of road </w:t>
      </w:r>
      <w:proofErr w:type="spellStart"/>
      <w:r w:rsidRPr="007817B3">
        <w:rPr>
          <w:rFonts w:ascii="Trebuchet MS" w:hAnsi="Trebuchet MS"/>
        </w:rPr>
        <w:t>surfacings</w:t>
      </w:r>
      <w:proofErr w:type="spellEnd"/>
      <w:r w:rsidRPr="007817B3">
        <w:rPr>
          <w:rFonts w:ascii="Trebuchet MS" w:hAnsi="Trebuchet MS"/>
        </w:rPr>
        <w:t xml:space="preserve"> and footways whereby emulsion is applied to compacted dry or damp aggregate. The low viscosity of the emulsion permits in-depth penetration through the interstices of the aggregate. This technique involves the construction of a combined base/wearing course surfacing from a thickness of 50mm to 75mm in one course or up to 100mm in two courses, as may be specified. </w:t>
      </w:r>
    </w:p>
    <w:p w14:paraId="0DA014F1" w14:textId="77777777" w:rsidR="008E45EB" w:rsidRPr="007817B3" w:rsidRDefault="008E45EB" w:rsidP="009E5F15">
      <w:pPr>
        <w:ind w:left="360"/>
        <w:rPr>
          <w:rFonts w:ascii="Trebuchet MS" w:hAnsi="Trebuchet MS"/>
        </w:rPr>
      </w:pPr>
    </w:p>
    <w:p w14:paraId="0854BE71" w14:textId="77777777" w:rsidR="008E45EB" w:rsidRPr="009E5F15" w:rsidRDefault="008E45EB" w:rsidP="009E5F15">
      <w:pPr>
        <w:rPr>
          <w:rFonts w:ascii="Trebuchet MS" w:hAnsi="Trebuchet MS"/>
          <w:b/>
          <w:bCs/>
        </w:rPr>
      </w:pPr>
      <w:r w:rsidRPr="009E5F15">
        <w:rPr>
          <w:rFonts w:ascii="Trebuchet MS" w:hAnsi="Trebuchet MS"/>
          <w:b/>
          <w:bCs/>
        </w:rPr>
        <w:t xml:space="preserve">2. Patching </w:t>
      </w:r>
    </w:p>
    <w:p w14:paraId="39B9FDF4" w14:textId="77777777" w:rsidR="008E45EB" w:rsidRPr="007817B3" w:rsidRDefault="008E45EB" w:rsidP="00DF71F8">
      <w:pPr>
        <w:jc w:val="both"/>
        <w:rPr>
          <w:rFonts w:ascii="Trebuchet MS" w:hAnsi="Trebuchet MS"/>
        </w:rPr>
      </w:pPr>
      <w:r w:rsidRPr="00AA45E6">
        <w:rPr>
          <w:rFonts w:ascii="Trebuchet MS" w:hAnsi="Trebuchet MS"/>
          <w:b/>
          <w:bCs/>
        </w:rPr>
        <w:t>2.1 Preparation -</w:t>
      </w:r>
      <w:r w:rsidRPr="007817B3">
        <w:rPr>
          <w:rFonts w:ascii="Trebuchet MS" w:hAnsi="Trebuchet MS"/>
        </w:rPr>
        <w:t xml:space="preserve"> The failed area should be cut cleanly to a regular shape with vertical or slightly undercut sides. A diamond shaped cut is preferred for heavily trafficked roads. It is important that the extent of the cut is such that the edges of the repair material will be in contact with good quality existing material. All loose and unstable material should be removed. </w:t>
      </w:r>
    </w:p>
    <w:p w14:paraId="381821ED" w14:textId="3ABDB32A" w:rsidR="008E45EB" w:rsidRPr="007817B3" w:rsidRDefault="008E45EB" w:rsidP="00DF71F8">
      <w:pPr>
        <w:jc w:val="both"/>
        <w:rPr>
          <w:rFonts w:ascii="Trebuchet MS" w:hAnsi="Trebuchet MS"/>
        </w:rPr>
      </w:pPr>
      <w:r w:rsidRPr="007817B3">
        <w:rPr>
          <w:rFonts w:ascii="Trebuchet MS" w:hAnsi="Trebuchet MS"/>
        </w:rPr>
        <w:t>Bond coat emulsion Class C40B3,</w:t>
      </w:r>
      <w:r w:rsidR="006611FB">
        <w:rPr>
          <w:rFonts w:ascii="Trebuchet MS" w:hAnsi="Trebuchet MS"/>
        </w:rPr>
        <w:t xml:space="preserve"> </w:t>
      </w:r>
      <w:r w:rsidRPr="007817B3">
        <w:rPr>
          <w:rFonts w:ascii="Trebuchet MS" w:hAnsi="Trebuchet MS"/>
        </w:rPr>
        <w:t xml:space="preserve">C60B3, or a polymer modified grade is applied, either by spraying or by pouring and brushing around the sides and base of the prepared area. Where dry surfaces are </w:t>
      </w:r>
      <w:r w:rsidR="006611FB" w:rsidRPr="007817B3">
        <w:rPr>
          <w:rFonts w:ascii="Trebuchet MS" w:hAnsi="Trebuchet MS"/>
        </w:rPr>
        <w:t>experienced,</w:t>
      </w:r>
      <w:r w:rsidRPr="007817B3">
        <w:rPr>
          <w:rFonts w:ascii="Trebuchet MS" w:hAnsi="Trebuchet MS"/>
        </w:rPr>
        <w:t xml:space="preserve"> these may be moistened with water to permit deeper penetration of the emulsion. </w:t>
      </w:r>
    </w:p>
    <w:p w14:paraId="20DD1D85" w14:textId="52417C34" w:rsidR="008E45EB" w:rsidRPr="007817B3" w:rsidRDefault="008E45EB" w:rsidP="00DF71F8">
      <w:pPr>
        <w:jc w:val="both"/>
        <w:rPr>
          <w:rFonts w:ascii="Trebuchet MS" w:hAnsi="Trebuchet MS"/>
        </w:rPr>
      </w:pPr>
      <w:r w:rsidRPr="00AA45E6">
        <w:rPr>
          <w:rFonts w:ascii="Trebuchet MS" w:hAnsi="Trebuchet MS"/>
          <w:b/>
          <w:bCs/>
        </w:rPr>
        <w:t>2.2 Application -</w:t>
      </w:r>
      <w:r w:rsidRPr="007817B3">
        <w:rPr>
          <w:rFonts w:ascii="Trebuchet MS" w:hAnsi="Trebuchet MS"/>
        </w:rPr>
        <w:t xml:space="preserve"> For heavily trafficked roads the patching material is frequently a hot bituminous mix, either asphalt concrete or hot rolled asphalt. If the depth of the repair area is more than 100mm the opening should be filled with successive layers of these materials which are levelled and compacted. The final layer should be suitably profiled. The patching material should contain a nominal size of aggregate which </w:t>
      </w:r>
      <w:r w:rsidR="00C35329">
        <w:rPr>
          <w:rFonts w:ascii="Trebuchet MS" w:hAnsi="Trebuchet MS"/>
        </w:rPr>
        <w:t xml:space="preserve">is </w:t>
      </w:r>
      <w:r w:rsidRPr="007817B3">
        <w:rPr>
          <w:rFonts w:ascii="Trebuchet MS" w:hAnsi="Trebuchet MS"/>
        </w:rPr>
        <w:t xml:space="preserve">no more than half the depth of the layer. A vibratory plate compactor is suitable for the consolidation of lower layers and small surfaces, whilst a roller is more practical for larger surface areas. If the repair has an open </w:t>
      </w:r>
      <w:r w:rsidR="006611FB" w:rsidRPr="007817B3">
        <w:rPr>
          <w:rFonts w:ascii="Trebuchet MS" w:hAnsi="Trebuchet MS"/>
        </w:rPr>
        <w:t>texture,</w:t>
      </w:r>
      <w:r w:rsidRPr="007817B3">
        <w:rPr>
          <w:rFonts w:ascii="Trebuchet MS" w:hAnsi="Trebuchet MS"/>
        </w:rPr>
        <w:t xml:space="preserve"> it can be sealed with emulsion class C60B3 or C60BF3 at a rate of spread of 0.8 to 1.0 l/m</w:t>
      </w:r>
      <w:r w:rsidRPr="00241A1C">
        <w:rPr>
          <w:rFonts w:ascii="Trebuchet MS" w:hAnsi="Trebuchet MS"/>
          <w:vertAlign w:val="superscript"/>
        </w:rPr>
        <w:t>2</w:t>
      </w:r>
      <w:r w:rsidRPr="007817B3">
        <w:rPr>
          <w:rFonts w:ascii="Trebuchet MS" w:hAnsi="Trebuchet MS"/>
        </w:rPr>
        <w:t xml:space="preserve"> and blinded with grit or </w:t>
      </w:r>
      <w:r w:rsidR="000677F8">
        <w:rPr>
          <w:rFonts w:ascii="Trebuchet MS" w:hAnsi="Trebuchet MS"/>
        </w:rPr>
        <w:t>a</w:t>
      </w:r>
      <w:r w:rsidRPr="007817B3">
        <w:rPr>
          <w:rFonts w:ascii="Trebuchet MS" w:hAnsi="Trebuchet MS"/>
        </w:rPr>
        <w:t xml:space="preserve"> pre-prepared slurry surfacing. (See REA Technical Data Sheet No. </w:t>
      </w:r>
      <w:r w:rsidR="00241A1C">
        <w:rPr>
          <w:rFonts w:ascii="Trebuchet MS" w:hAnsi="Trebuchet MS"/>
        </w:rPr>
        <w:t>12</w:t>
      </w:r>
      <w:r w:rsidRPr="007817B3">
        <w:rPr>
          <w:rFonts w:ascii="Trebuchet MS" w:hAnsi="Trebuchet MS"/>
        </w:rPr>
        <w:t xml:space="preserve"> – Miscellaneous uses of Bitumen Emulsions) </w:t>
      </w:r>
    </w:p>
    <w:p w14:paraId="755577D3" w14:textId="77777777" w:rsidR="000677F8" w:rsidRDefault="000677F8">
      <w:pPr>
        <w:rPr>
          <w:rFonts w:ascii="Trebuchet MS" w:hAnsi="Trebuchet MS"/>
        </w:rPr>
      </w:pPr>
      <w:r>
        <w:rPr>
          <w:rFonts w:ascii="Trebuchet MS" w:hAnsi="Trebuchet MS"/>
        </w:rPr>
        <w:br w:type="page"/>
      </w:r>
    </w:p>
    <w:p w14:paraId="01688BF3" w14:textId="3546B9DF" w:rsidR="008E45EB" w:rsidRPr="007817B3" w:rsidRDefault="008E45EB" w:rsidP="00DF71F8">
      <w:pPr>
        <w:jc w:val="both"/>
        <w:rPr>
          <w:rFonts w:ascii="Trebuchet MS" w:hAnsi="Trebuchet MS"/>
        </w:rPr>
      </w:pPr>
      <w:r w:rsidRPr="007817B3">
        <w:rPr>
          <w:rFonts w:ascii="Trebuchet MS" w:hAnsi="Trebuchet MS"/>
        </w:rPr>
        <w:lastRenderedPageBreak/>
        <w:t xml:space="preserve">On less heavily trafficked roads alternative patching materials and procedures are available. </w:t>
      </w:r>
    </w:p>
    <w:p w14:paraId="58E20243" w14:textId="77777777" w:rsidR="008E45EB" w:rsidRPr="007817B3" w:rsidRDefault="008E45EB" w:rsidP="00DF71F8">
      <w:pPr>
        <w:pStyle w:val="ListParagraph"/>
        <w:numPr>
          <w:ilvl w:val="0"/>
          <w:numId w:val="2"/>
        </w:numPr>
        <w:ind w:left="720"/>
        <w:jc w:val="both"/>
        <w:rPr>
          <w:rFonts w:ascii="Trebuchet MS" w:hAnsi="Trebuchet MS"/>
        </w:rPr>
      </w:pPr>
      <w:r w:rsidRPr="00AA45E6">
        <w:rPr>
          <w:rFonts w:ascii="Trebuchet MS" w:hAnsi="Trebuchet MS"/>
          <w:b/>
          <w:bCs/>
        </w:rPr>
        <w:t>Deferred Set Macadams</w:t>
      </w:r>
      <w:r w:rsidRPr="007817B3">
        <w:rPr>
          <w:rFonts w:ascii="Trebuchet MS" w:hAnsi="Trebuchet MS"/>
        </w:rPr>
        <w:t xml:space="preserve"> - Particular attention needs to be paid to providing vertical edges to the patches so that edge support is obtained. </w:t>
      </w:r>
    </w:p>
    <w:p w14:paraId="26695130" w14:textId="34FE94DA" w:rsidR="008E45EB" w:rsidRPr="007817B3" w:rsidRDefault="008E45EB" w:rsidP="00DF71F8">
      <w:pPr>
        <w:pStyle w:val="ListParagraph"/>
        <w:numPr>
          <w:ilvl w:val="0"/>
          <w:numId w:val="2"/>
        </w:numPr>
        <w:ind w:left="720"/>
        <w:jc w:val="both"/>
        <w:rPr>
          <w:rFonts w:ascii="Trebuchet MS" w:hAnsi="Trebuchet MS"/>
        </w:rPr>
      </w:pPr>
      <w:r w:rsidRPr="00AA45E6">
        <w:rPr>
          <w:rFonts w:ascii="Trebuchet MS" w:hAnsi="Trebuchet MS"/>
          <w:b/>
          <w:bCs/>
        </w:rPr>
        <w:t>Emulsion/Aggregate Mixes -</w:t>
      </w:r>
      <w:r w:rsidRPr="007817B3">
        <w:rPr>
          <w:rFonts w:ascii="Trebuchet MS" w:hAnsi="Trebuchet MS"/>
        </w:rPr>
        <w:t xml:space="preserve"> Several permanent cold lay surfacing materials are available. In the past HAUC certification gave assurance of the proven performance of permanent cold lay materials; however, this process is now within the scope of the BBA/HAPAS Guidelines Document for the Assessment and Certification of Permanent Cold Surfacing Material for the Reinstatement of Openings in Highways </w:t>
      </w:r>
      <w:r w:rsidR="008146B3">
        <w:rPr>
          <w:rFonts w:ascii="Trebuchet MS" w:hAnsi="Trebuchet MS"/>
        </w:rPr>
        <w:t xml:space="preserve">or equivalent </w:t>
      </w:r>
      <w:r w:rsidR="0020536B">
        <w:rPr>
          <w:rFonts w:ascii="Trebuchet MS" w:hAnsi="Trebuchet MS"/>
        </w:rPr>
        <w:t xml:space="preserve">product acceptance </w:t>
      </w:r>
      <w:r w:rsidR="008146B3">
        <w:rPr>
          <w:rFonts w:ascii="Trebuchet MS" w:hAnsi="Trebuchet MS"/>
        </w:rPr>
        <w:t>scheme</w:t>
      </w:r>
      <w:r w:rsidR="00EA17B1">
        <w:rPr>
          <w:rFonts w:ascii="Trebuchet MS" w:hAnsi="Trebuchet MS"/>
        </w:rPr>
        <w:t>s</w:t>
      </w:r>
      <w:r w:rsidR="008146B3">
        <w:rPr>
          <w:rFonts w:ascii="Trebuchet MS" w:hAnsi="Trebuchet MS"/>
        </w:rPr>
        <w:t>.</w:t>
      </w:r>
    </w:p>
    <w:p w14:paraId="422BDCBA" w14:textId="299D78BE" w:rsidR="008E45EB" w:rsidRDefault="008E45EB" w:rsidP="00DF71F8">
      <w:pPr>
        <w:pStyle w:val="ListParagraph"/>
        <w:numPr>
          <w:ilvl w:val="0"/>
          <w:numId w:val="2"/>
        </w:numPr>
        <w:ind w:left="720"/>
        <w:jc w:val="both"/>
        <w:rPr>
          <w:rFonts w:ascii="Trebuchet MS" w:hAnsi="Trebuchet MS"/>
        </w:rPr>
      </w:pPr>
      <w:r w:rsidRPr="00AA45E6">
        <w:rPr>
          <w:rFonts w:ascii="Trebuchet MS" w:hAnsi="Trebuchet MS"/>
          <w:b/>
          <w:bCs/>
        </w:rPr>
        <w:t>In-Situ Patching -</w:t>
      </w:r>
      <w:r w:rsidRPr="007817B3">
        <w:rPr>
          <w:rFonts w:ascii="Trebuchet MS" w:hAnsi="Trebuchet MS"/>
        </w:rPr>
        <w:t xml:space="preserve"> Clean aggregate which should be 20/31.5mm nominal size, or no larger than about two-thirds of the depth of the hole, is placed in the prepared site to a thickness slightly greater than its depth. At this stage the minimum amount of emulsion required to coat the stone is poured on, followed by good compaction. The emulsion should be class C60B3 or C60BF3 C69B3 or C69BP3 and it is important that only the minimum quantity be used </w:t>
      </w:r>
      <w:proofErr w:type="gramStart"/>
      <w:r w:rsidRPr="007817B3">
        <w:rPr>
          <w:rFonts w:ascii="Trebuchet MS" w:hAnsi="Trebuchet MS"/>
        </w:rPr>
        <w:t>in order to</w:t>
      </w:r>
      <w:proofErr w:type="gramEnd"/>
      <w:r w:rsidRPr="007817B3">
        <w:rPr>
          <w:rFonts w:ascii="Trebuchet MS" w:hAnsi="Trebuchet MS"/>
        </w:rPr>
        <w:t xml:space="preserve"> avoid ‘fat’ spots on the road. The open textured patch should then be sealed by covering with clean 6.3/10mm or 2.8/6.3mm chippings and again well rolled. </w:t>
      </w:r>
    </w:p>
    <w:p w14:paraId="31E5AB08" w14:textId="18D33252" w:rsidR="008E45EB" w:rsidRPr="007817B3" w:rsidRDefault="008E45EB" w:rsidP="00DF71F8">
      <w:pPr>
        <w:jc w:val="both"/>
        <w:rPr>
          <w:rFonts w:ascii="Trebuchet MS" w:hAnsi="Trebuchet MS"/>
        </w:rPr>
      </w:pPr>
      <w:r w:rsidRPr="00E3058F">
        <w:rPr>
          <w:rFonts w:ascii="Trebuchet MS" w:hAnsi="Trebuchet MS"/>
          <w:b/>
          <w:bCs/>
        </w:rPr>
        <w:t>2.3 Surface Dressing</w:t>
      </w:r>
      <w:r w:rsidRPr="007817B3">
        <w:rPr>
          <w:rFonts w:ascii="Trebuchet MS" w:hAnsi="Trebuchet MS"/>
        </w:rPr>
        <w:t xml:space="preserve"> - If it is considered that the patch needs to be surface dressed </w:t>
      </w:r>
      <w:proofErr w:type="gramStart"/>
      <w:r w:rsidRPr="007817B3">
        <w:rPr>
          <w:rFonts w:ascii="Trebuchet MS" w:hAnsi="Trebuchet MS"/>
        </w:rPr>
        <w:t>in order to</w:t>
      </w:r>
      <w:proofErr w:type="gramEnd"/>
      <w:r w:rsidRPr="007817B3">
        <w:rPr>
          <w:rFonts w:ascii="Trebuchet MS" w:hAnsi="Trebuchet MS"/>
        </w:rPr>
        <w:t xml:space="preserve"> provide a matching texture to the rest of the road, then the following procedure should be followed. Brush sharp grit (preferably bitumen coated) into the pores of the macadam and </w:t>
      </w:r>
      <w:r w:rsidR="00E907DE" w:rsidRPr="007817B3">
        <w:rPr>
          <w:rFonts w:ascii="Trebuchet MS" w:hAnsi="Trebuchet MS"/>
        </w:rPr>
        <w:t xml:space="preserve">vigorously </w:t>
      </w:r>
      <w:r w:rsidRPr="007817B3">
        <w:rPr>
          <w:rFonts w:ascii="Trebuchet MS" w:hAnsi="Trebuchet MS"/>
        </w:rPr>
        <w:t>sweep off any excess. Brush or spray apply C69B3 or C69BP3 or a proprietary brushing grade emulsion over the surface t</w:t>
      </w:r>
      <w:r w:rsidR="00D37C37">
        <w:rPr>
          <w:rFonts w:ascii="Trebuchet MS" w:hAnsi="Trebuchet MS"/>
        </w:rPr>
        <w:t xml:space="preserve">o </w:t>
      </w:r>
      <w:r w:rsidR="00DF713F">
        <w:rPr>
          <w:rFonts w:ascii="Trebuchet MS" w:hAnsi="Trebuchet MS"/>
        </w:rPr>
        <w:t xml:space="preserve">a depth of </w:t>
      </w:r>
      <w:r w:rsidR="00E907DE">
        <w:rPr>
          <w:rFonts w:ascii="Trebuchet MS" w:hAnsi="Trebuchet MS"/>
        </w:rPr>
        <w:t xml:space="preserve">approximately </w:t>
      </w:r>
      <w:r w:rsidRPr="007817B3">
        <w:rPr>
          <w:rFonts w:ascii="Trebuchet MS" w:hAnsi="Trebuchet MS"/>
        </w:rPr>
        <w:t xml:space="preserve">50% </w:t>
      </w:r>
      <w:r w:rsidR="00E907DE">
        <w:rPr>
          <w:rFonts w:ascii="Trebuchet MS" w:hAnsi="Trebuchet MS"/>
        </w:rPr>
        <w:t xml:space="preserve">of the </w:t>
      </w:r>
      <w:r w:rsidR="00830510">
        <w:rPr>
          <w:rFonts w:ascii="Trebuchet MS" w:hAnsi="Trebuchet MS"/>
        </w:rPr>
        <w:t xml:space="preserve">height of the </w:t>
      </w:r>
      <w:r w:rsidRPr="007817B3">
        <w:rPr>
          <w:rFonts w:ascii="Trebuchet MS" w:hAnsi="Trebuchet MS"/>
        </w:rPr>
        <w:t>chippings to be used (approx. 1 - 2 l/m</w:t>
      </w:r>
      <w:r w:rsidRPr="007817B3">
        <w:rPr>
          <w:rFonts w:ascii="Trebuchet MS" w:hAnsi="Trebuchet MS"/>
          <w:vertAlign w:val="superscript"/>
        </w:rPr>
        <w:t>2</w:t>
      </w:r>
      <w:r w:rsidRPr="007817B3">
        <w:rPr>
          <w:rFonts w:ascii="Trebuchet MS" w:hAnsi="Trebuchet MS"/>
        </w:rPr>
        <w:t xml:space="preserve"> depending on the macadam texture and chipping size). Immediately apply the chippings and protect the patch from fast moving traffic until the surface is cured and stable. (Technical Data Sheet No. 4 – Surface Dressing with Bitumen Emulsion or Road Note 39 [1] provide general guidance). The following day remove any loose chippings. </w:t>
      </w:r>
    </w:p>
    <w:p w14:paraId="378C3D48" w14:textId="77777777" w:rsidR="008E45EB" w:rsidRPr="007817B3" w:rsidRDefault="008E45EB" w:rsidP="00DF71F8">
      <w:pPr>
        <w:jc w:val="both"/>
        <w:rPr>
          <w:rFonts w:ascii="Trebuchet MS" w:hAnsi="Trebuchet MS"/>
        </w:rPr>
      </w:pPr>
    </w:p>
    <w:p w14:paraId="54C98523" w14:textId="77777777" w:rsidR="008E45EB" w:rsidRPr="009E5F15" w:rsidRDefault="008E45EB" w:rsidP="00DF71F8">
      <w:pPr>
        <w:jc w:val="both"/>
        <w:rPr>
          <w:rFonts w:ascii="Trebuchet MS" w:hAnsi="Trebuchet MS"/>
          <w:b/>
          <w:bCs/>
        </w:rPr>
      </w:pPr>
      <w:r w:rsidRPr="009E5F15">
        <w:rPr>
          <w:rFonts w:ascii="Trebuchet MS" w:hAnsi="Trebuchet MS"/>
          <w:b/>
          <w:bCs/>
        </w:rPr>
        <w:t xml:space="preserve">3. Grouting </w:t>
      </w:r>
    </w:p>
    <w:p w14:paraId="1BCD1F15" w14:textId="7D18B56C" w:rsidR="008E45EB" w:rsidRPr="007817B3" w:rsidRDefault="008E45EB" w:rsidP="00DF71F8">
      <w:pPr>
        <w:jc w:val="both"/>
        <w:rPr>
          <w:rFonts w:ascii="Trebuchet MS" w:hAnsi="Trebuchet MS"/>
        </w:rPr>
      </w:pPr>
      <w:r w:rsidRPr="007817B3">
        <w:rPr>
          <w:rFonts w:ascii="Trebuchet MS" w:hAnsi="Trebuchet MS"/>
        </w:rPr>
        <w:t>Both full and semi-grouted works are recognised methods. In the former the quantity of emulsion used should be sufficient to coat the aggregate t</w:t>
      </w:r>
      <w:r w:rsidR="00585A83">
        <w:rPr>
          <w:rFonts w:ascii="Trebuchet MS" w:hAnsi="Trebuchet MS"/>
        </w:rPr>
        <w:t>o t</w:t>
      </w:r>
      <w:r w:rsidRPr="007817B3">
        <w:rPr>
          <w:rFonts w:ascii="Trebuchet MS" w:hAnsi="Trebuchet MS"/>
        </w:rPr>
        <w:t xml:space="preserve">he full depth of the construction; for a semi-grout, a lower water bound layer is formed during the aggregate compaction stage and then the emulsion is applied in sufficient quantity to completely coat the aggregate above this water bound layer. Semi-grouted work is particularly suitable for footway construction. </w:t>
      </w:r>
    </w:p>
    <w:p w14:paraId="30439A9C" w14:textId="77777777" w:rsidR="008E45EB" w:rsidRPr="007817B3" w:rsidRDefault="008E45EB" w:rsidP="00DF71F8">
      <w:pPr>
        <w:jc w:val="both"/>
        <w:rPr>
          <w:rFonts w:ascii="Trebuchet MS" w:hAnsi="Trebuchet MS"/>
        </w:rPr>
      </w:pPr>
      <w:r w:rsidRPr="00E3058F">
        <w:rPr>
          <w:rFonts w:ascii="Trebuchet MS" w:hAnsi="Trebuchet MS"/>
          <w:b/>
          <w:bCs/>
        </w:rPr>
        <w:t>3.1 Preparation of Base -</w:t>
      </w:r>
      <w:r w:rsidRPr="007817B3">
        <w:rPr>
          <w:rFonts w:ascii="Trebuchet MS" w:hAnsi="Trebuchet MS"/>
        </w:rPr>
        <w:t xml:space="preserve"> After ensuring that the foundations and drainage are satisfactory, the base may be scarified or, alternatively, clean sand or quarry fines should be applied to a total thickness not exceeding 13mm. </w:t>
      </w:r>
    </w:p>
    <w:p w14:paraId="0991E773" w14:textId="55DB703F" w:rsidR="008E45EB" w:rsidRPr="00E3058F" w:rsidRDefault="008E45EB" w:rsidP="00DF71F8">
      <w:pPr>
        <w:jc w:val="both"/>
        <w:rPr>
          <w:rFonts w:ascii="Trebuchet MS" w:hAnsi="Trebuchet MS"/>
          <w:b/>
          <w:bCs/>
        </w:rPr>
      </w:pPr>
      <w:r w:rsidRPr="00E3058F">
        <w:rPr>
          <w:rFonts w:ascii="Trebuchet MS" w:hAnsi="Trebuchet MS"/>
          <w:b/>
          <w:bCs/>
        </w:rPr>
        <w:t>3.2 Application of Aggregate</w:t>
      </w:r>
    </w:p>
    <w:p w14:paraId="31C990DA" w14:textId="77777777" w:rsidR="006E066B" w:rsidRPr="007817B3" w:rsidRDefault="008E45EB" w:rsidP="00DF71F8">
      <w:pPr>
        <w:jc w:val="both"/>
        <w:rPr>
          <w:rFonts w:ascii="Trebuchet MS" w:hAnsi="Trebuchet MS"/>
        </w:rPr>
      </w:pPr>
      <w:r w:rsidRPr="00E3058F">
        <w:rPr>
          <w:rFonts w:ascii="Trebuchet MS" w:hAnsi="Trebuchet MS"/>
          <w:b/>
          <w:bCs/>
        </w:rPr>
        <w:t xml:space="preserve"> (a) Selection</w:t>
      </w:r>
      <w:r w:rsidRPr="007817B3">
        <w:rPr>
          <w:rFonts w:ascii="Trebuchet MS" w:hAnsi="Trebuchet MS"/>
        </w:rPr>
        <w:t xml:space="preserve"> </w:t>
      </w:r>
    </w:p>
    <w:p w14:paraId="0F66B44B" w14:textId="77777777" w:rsidR="006E066B" w:rsidRPr="007817B3" w:rsidRDefault="008E45EB" w:rsidP="00DF71F8">
      <w:pPr>
        <w:jc w:val="both"/>
        <w:rPr>
          <w:rFonts w:ascii="Trebuchet MS" w:hAnsi="Trebuchet MS"/>
        </w:rPr>
      </w:pPr>
      <w:r w:rsidRPr="007817B3">
        <w:rPr>
          <w:rFonts w:ascii="Trebuchet MS" w:hAnsi="Trebuchet MS"/>
        </w:rPr>
        <w:t xml:space="preserve">Any clean, angular aggregate can be used, provided that its crushing strength is sufficiently high to withstand the traffic to be carried. The grading should be selected with reference to the character of the aggregate and the depth of each compacted layer. Typical gradings might be: </w:t>
      </w:r>
    </w:p>
    <w:p w14:paraId="39E7AD83" w14:textId="77777777" w:rsidR="006E066B" w:rsidRPr="00E3058F" w:rsidRDefault="008E45EB" w:rsidP="00DF71F8">
      <w:pPr>
        <w:jc w:val="both"/>
        <w:rPr>
          <w:rFonts w:ascii="Trebuchet MS" w:hAnsi="Trebuchet MS"/>
          <w:b/>
          <w:bCs/>
        </w:rPr>
      </w:pPr>
      <w:r w:rsidRPr="00E3058F">
        <w:rPr>
          <w:rFonts w:ascii="Trebuchet MS" w:hAnsi="Trebuchet MS"/>
          <w:b/>
          <w:bCs/>
        </w:rPr>
        <w:lastRenderedPageBreak/>
        <w:t xml:space="preserve">For 50mm compacted thickness </w:t>
      </w:r>
    </w:p>
    <w:p w14:paraId="5E5E3F87" w14:textId="77777777" w:rsidR="006E066B" w:rsidRPr="00E3058F" w:rsidRDefault="008E45EB" w:rsidP="00DF71F8">
      <w:pPr>
        <w:pStyle w:val="NoSpacing"/>
        <w:spacing w:line="276" w:lineRule="auto"/>
        <w:jc w:val="both"/>
        <w:rPr>
          <w:rFonts w:ascii="Trebuchet MS" w:hAnsi="Trebuchet MS"/>
        </w:rPr>
      </w:pPr>
      <w:r w:rsidRPr="00E3058F">
        <w:rPr>
          <w:rFonts w:ascii="Trebuchet MS" w:hAnsi="Trebuchet MS"/>
        </w:rPr>
        <w:t xml:space="preserve">60% 20/40mm nominal single sized material </w:t>
      </w:r>
    </w:p>
    <w:p w14:paraId="0C62AE24" w14:textId="77777777" w:rsidR="006E066B" w:rsidRPr="00E3058F" w:rsidRDefault="008E45EB" w:rsidP="00DF71F8">
      <w:pPr>
        <w:pStyle w:val="NoSpacing"/>
        <w:spacing w:line="276" w:lineRule="auto"/>
        <w:jc w:val="both"/>
        <w:rPr>
          <w:rFonts w:ascii="Trebuchet MS" w:hAnsi="Trebuchet MS"/>
        </w:rPr>
      </w:pPr>
      <w:r w:rsidRPr="00E3058F">
        <w:rPr>
          <w:rFonts w:ascii="Trebuchet MS" w:hAnsi="Trebuchet MS"/>
        </w:rPr>
        <w:t xml:space="preserve">30% 20/31.5mm nominal single sized material </w:t>
      </w:r>
    </w:p>
    <w:p w14:paraId="04F37DBF" w14:textId="5200FEA0" w:rsidR="006E066B" w:rsidRDefault="008E45EB" w:rsidP="00DF71F8">
      <w:pPr>
        <w:pStyle w:val="NoSpacing"/>
        <w:spacing w:line="276" w:lineRule="auto"/>
        <w:jc w:val="both"/>
        <w:rPr>
          <w:rFonts w:ascii="Trebuchet MS" w:hAnsi="Trebuchet MS"/>
        </w:rPr>
      </w:pPr>
      <w:r w:rsidRPr="00E3058F">
        <w:rPr>
          <w:rFonts w:ascii="Trebuchet MS" w:hAnsi="Trebuchet MS"/>
        </w:rPr>
        <w:t xml:space="preserve">10% 14/20mm nominal single sized material </w:t>
      </w:r>
    </w:p>
    <w:p w14:paraId="0B351C4A" w14:textId="77777777" w:rsidR="00E21601" w:rsidRPr="00E3058F" w:rsidRDefault="00E21601" w:rsidP="00DF71F8">
      <w:pPr>
        <w:pStyle w:val="NoSpacing"/>
        <w:spacing w:line="276" w:lineRule="auto"/>
        <w:jc w:val="both"/>
        <w:rPr>
          <w:rFonts w:ascii="Trebuchet MS" w:hAnsi="Trebuchet MS"/>
        </w:rPr>
      </w:pPr>
    </w:p>
    <w:p w14:paraId="11EEB0F3" w14:textId="77777777" w:rsidR="006E066B" w:rsidRPr="00E3058F" w:rsidRDefault="008E45EB" w:rsidP="00DF71F8">
      <w:pPr>
        <w:jc w:val="both"/>
        <w:rPr>
          <w:rFonts w:ascii="Trebuchet MS" w:hAnsi="Trebuchet MS"/>
          <w:b/>
          <w:bCs/>
        </w:rPr>
      </w:pPr>
      <w:r w:rsidRPr="00E3058F">
        <w:rPr>
          <w:rFonts w:ascii="Trebuchet MS" w:hAnsi="Trebuchet MS"/>
          <w:b/>
          <w:bCs/>
        </w:rPr>
        <w:t xml:space="preserve">For 65 - 75mm compacted thickness </w:t>
      </w:r>
    </w:p>
    <w:p w14:paraId="61098968" w14:textId="77777777" w:rsidR="006E066B" w:rsidRPr="007817B3" w:rsidRDefault="008E45EB" w:rsidP="00DF71F8">
      <w:pPr>
        <w:pStyle w:val="NoSpacing"/>
        <w:spacing w:line="276" w:lineRule="auto"/>
        <w:jc w:val="both"/>
        <w:rPr>
          <w:rFonts w:ascii="Trebuchet MS" w:hAnsi="Trebuchet MS"/>
        </w:rPr>
      </w:pPr>
      <w:r w:rsidRPr="007817B3">
        <w:rPr>
          <w:rFonts w:ascii="Trebuchet MS" w:hAnsi="Trebuchet MS"/>
        </w:rPr>
        <w:t xml:space="preserve">60% 50mm nominal single sized material </w:t>
      </w:r>
    </w:p>
    <w:p w14:paraId="21352B2C" w14:textId="77777777" w:rsidR="006E066B" w:rsidRPr="007817B3" w:rsidRDefault="008E45EB" w:rsidP="00DF71F8">
      <w:pPr>
        <w:pStyle w:val="NoSpacing"/>
        <w:spacing w:line="276" w:lineRule="auto"/>
        <w:jc w:val="both"/>
        <w:rPr>
          <w:rFonts w:ascii="Trebuchet MS" w:hAnsi="Trebuchet MS"/>
        </w:rPr>
      </w:pPr>
      <w:r w:rsidRPr="007817B3">
        <w:rPr>
          <w:rFonts w:ascii="Trebuchet MS" w:hAnsi="Trebuchet MS"/>
        </w:rPr>
        <w:t xml:space="preserve">30% 20/40mm nominal single sized material </w:t>
      </w:r>
    </w:p>
    <w:p w14:paraId="3BA5CA27" w14:textId="77777777" w:rsidR="006E066B" w:rsidRPr="007817B3" w:rsidRDefault="008E45EB" w:rsidP="00DF71F8">
      <w:pPr>
        <w:pStyle w:val="NoSpacing"/>
        <w:spacing w:line="276" w:lineRule="auto"/>
        <w:jc w:val="both"/>
        <w:rPr>
          <w:rFonts w:ascii="Trebuchet MS" w:hAnsi="Trebuchet MS"/>
        </w:rPr>
      </w:pPr>
      <w:r w:rsidRPr="007817B3">
        <w:rPr>
          <w:rFonts w:ascii="Trebuchet MS" w:hAnsi="Trebuchet MS"/>
        </w:rPr>
        <w:t xml:space="preserve">10% 14/20mm nominal single sized material </w:t>
      </w:r>
    </w:p>
    <w:p w14:paraId="13E9FAC6" w14:textId="77777777" w:rsidR="00683FC5" w:rsidRDefault="00683FC5" w:rsidP="00DF71F8">
      <w:pPr>
        <w:jc w:val="both"/>
        <w:rPr>
          <w:rFonts w:ascii="Trebuchet MS" w:hAnsi="Trebuchet MS"/>
        </w:rPr>
      </w:pPr>
    </w:p>
    <w:p w14:paraId="70229F74" w14:textId="5B98E730" w:rsidR="006E066B" w:rsidRPr="007817B3" w:rsidRDefault="008E45EB" w:rsidP="00DF71F8">
      <w:pPr>
        <w:jc w:val="both"/>
        <w:rPr>
          <w:rFonts w:ascii="Trebuchet MS" w:hAnsi="Trebuchet MS"/>
        </w:rPr>
      </w:pPr>
      <w:r w:rsidRPr="007817B3">
        <w:rPr>
          <w:rFonts w:ascii="Trebuchet MS" w:hAnsi="Trebuchet MS"/>
        </w:rPr>
        <w:t xml:space="preserve">The various sizes should be thoroughly mixed or alternatively the 14/20mm material should be spread over the larger aggregate, after the latter has been placed in position, and vibrated into the interstices. </w:t>
      </w:r>
    </w:p>
    <w:p w14:paraId="303955A3" w14:textId="77777777" w:rsidR="006E066B" w:rsidRPr="00E21601" w:rsidRDefault="008E45EB" w:rsidP="00DF71F8">
      <w:pPr>
        <w:jc w:val="both"/>
        <w:rPr>
          <w:rFonts w:ascii="Trebuchet MS" w:hAnsi="Trebuchet MS"/>
          <w:b/>
          <w:bCs/>
        </w:rPr>
      </w:pPr>
      <w:r w:rsidRPr="00E21601">
        <w:rPr>
          <w:rFonts w:ascii="Trebuchet MS" w:hAnsi="Trebuchet MS"/>
          <w:b/>
          <w:bCs/>
        </w:rPr>
        <w:t xml:space="preserve">(b) Spreading and Compacting </w:t>
      </w:r>
    </w:p>
    <w:p w14:paraId="172B6956" w14:textId="4A87ECB5" w:rsidR="006E066B" w:rsidRPr="007817B3" w:rsidRDefault="008E45EB" w:rsidP="00DF71F8">
      <w:pPr>
        <w:jc w:val="both"/>
        <w:rPr>
          <w:rFonts w:ascii="Trebuchet MS" w:hAnsi="Trebuchet MS"/>
        </w:rPr>
      </w:pPr>
      <w:r w:rsidRPr="007817B3">
        <w:rPr>
          <w:rFonts w:ascii="Trebuchet MS" w:hAnsi="Trebuchet MS"/>
        </w:rPr>
        <w:t>For finished thickness up to 75mm the aggregate should be spread to the required contour such that, after rolling, the minimum thickness is not less than specified. The aggregate should be stockpiled outside the area upon which it is to be spread and protected from contamination. Spreading may b</w:t>
      </w:r>
      <w:r w:rsidR="00585A83">
        <w:rPr>
          <w:rFonts w:ascii="Trebuchet MS" w:hAnsi="Trebuchet MS"/>
        </w:rPr>
        <w:t>e</w:t>
      </w:r>
      <w:r w:rsidRPr="007817B3">
        <w:rPr>
          <w:rFonts w:ascii="Trebuchet MS" w:hAnsi="Trebuchet MS"/>
        </w:rPr>
        <w:t xml:space="preserve"> carried out manually using shovels, and not forks, care being taken to avoid segregation during the operation. It may also be spread by mechanical means, such as a spreader box, when it is advisable firstly to spread the coarse aggregate and then to superimpose 14/20mm material as a separate operation. </w:t>
      </w:r>
    </w:p>
    <w:p w14:paraId="5629BE4E" w14:textId="77777777" w:rsidR="006E066B" w:rsidRPr="007817B3" w:rsidRDefault="008E45EB" w:rsidP="00DF71F8">
      <w:pPr>
        <w:jc w:val="both"/>
        <w:rPr>
          <w:rFonts w:ascii="Trebuchet MS" w:hAnsi="Trebuchet MS"/>
        </w:rPr>
      </w:pPr>
      <w:r w:rsidRPr="007817B3">
        <w:rPr>
          <w:rFonts w:ascii="Trebuchet MS" w:hAnsi="Trebuchet MS"/>
        </w:rPr>
        <w:t xml:space="preserve">Compaction should be carried out with a vibrating roller. Rolling should be longitudinal and progress from the sides towards the centre of the road or footway until there is no appreciable movement of the aggregate under the roller. If required, 14/20mm chippings can be added at this stage </w:t>
      </w:r>
      <w:proofErr w:type="gramStart"/>
      <w:r w:rsidRPr="007817B3">
        <w:rPr>
          <w:rFonts w:ascii="Trebuchet MS" w:hAnsi="Trebuchet MS"/>
        </w:rPr>
        <w:t>in order to</w:t>
      </w:r>
      <w:proofErr w:type="gramEnd"/>
      <w:r w:rsidRPr="007817B3">
        <w:rPr>
          <w:rFonts w:ascii="Trebuchet MS" w:hAnsi="Trebuchet MS"/>
        </w:rPr>
        <w:t xml:space="preserve"> correct any deficiencies there may be in the quality of the surface. For semi-grouted work, a quantity of water should be applied during rolling to form a uniform water bound layer. This lower layer should not exceed two-thirds of the total thickness of the compacted aggregate. </w:t>
      </w:r>
    </w:p>
    <w:p w14:paraId="054F1A62" w14:textId="77777777" w:rsidR="005909CA" w:rsidRPr="00E21601" w:rsidRDefault="008E45EB" w:rsidP="00DF71F8">
      <w:pPr>
        <w:jc w:val="both"/>
        <w:rPr>
          <w:rFonts w:ascii="Trebuchet MS" w:hAnsi="Trebuchet MS"/>
          <w:b/>
          <w:bCs/>
        </w:rPr>
      </w:pPr>
      <w:r w:rsidRPr="00E21601">
        <w:rPr>
          <w:rFonts w:ascii="Trebuchet MS" w:hAnsi="Trebuchet MS"/>
          <w:b/>
          <w:bCs/>
        </w:rPr>
        <w:t xml:space="preserve">3.3 Application of Emulsion for thicknesses up to 75mm </w:t>
      </w:r>
    </w:p>
    <w:p w14:paraId="7E0A7A87" w14:textId="0508D6FC" w:rsidR="005909CA" w:rsidRDefault="008E45EB" w:rsidP="00DF71F8">
      <w:pPr>
        <w:jc w:val="both"/>
        <w:rPr>
          <w:rFonts w:ascii="Trebuchet MS" w:hAnsi="Trebuchet MS"/>
        </w:rPr>
      </w:pPr>
      <w:r w:rsidRPr="007817B3">
        <w:rPr>
          <w:rFonts w:ascii="Trebuchet MS" w:hAnsi="Trebuchet MS"/>
        </w:rPr>
        <w:t xml:space="preserve">For a full grout the quantity of the emulsion should be sufficient to penetrate the full depth of the course; it is advantageous to apply the emulsion in two stages. For </w:t>
      </w:r>
      <w:r w:rsidR="00EA363B" w:rsidRPr="007817B3">
        <w:rPr>
          <w:rFonts w:ascii="Trebuchet MS" w:hAnsi="Trebuchet MS"/>
        </w:rPr>
        <w:t>semi</w:t>
      </w:r>
      <w:r w:rsidR="00EA363B">
        <w:rPr>
          <w:rFonts w:ascii="Trebuchet MS" w:hAnsi="Trebuchet MS"/>
        </w:rPr>
        <w:t>-</w:t>
      </w:r>
      <w:r w:rsidR="00EA363B" w:rsidRPr="007817B3">
        <w:rPr>
          <w:rFonts w:ascii="Trebuchet MS" w:hAnsi="Trebuchet MS"/>
        </w:rPr>
        <w:t>grouted</w:t>
      </w:r>
      <w:r w:rsidRPr="007817B3">
        <w:rPr>
          <w:rFonts w:ascii="Trebuchet MS" w:hAnsi="Trebuchet MS"/>
        </w:rPr>
        <w:t xml:space="preserve"> work the quantity of emulsion used should be sufficient to coat the aggregate to the full depth of the layer above the non-bituminous layer. Typical rates of application for grouting are given in the following table: </w:t>
      </w:r>
    </w:p>
    <w:p w14:paraId="1EEFE275" w14:textId="77777777" w:rsidR="008A4CB4" w:rsidRPr="00682B2A" w:rsidRDefault="008A4CB4" w:rsidP="008A4CB4">
      <w:pPr>
        <w:jc w:val="both"/>
        <w:rPr>
          <w:rFonts w:ascii="Trebuchet MS" w:hAnsi="Trebuchet MS"/>
          <w:b/>
          <w:bCs/>
        </w:rPr>
      </w:pPr>
      <w:r>
        <w:rPr>
          <w:rFonts w:ascii="Trebuchet MS" w:hAnsi="Trebuchet MS"/>
          <w:b/>
          <w:bCs/>
        </w:rPr>
        <w:t>T</w:t>
      </w:r>
      <w:r w:rsidRPr="00682B2A">
        <w:rPr>
          <w:rFonts w:ascii="Trebuchet MS" w:hAnsi="Trebuchet MS"/>
          <w:b/>
          <w:bCs/>
        </w:rPr>
        <w:t>able 1 - Typical rates of application for grouting</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A4CB4" w:rsidRPr="00682B2A" w14:paraId="5AE107C7" w14:textId="77777777" w:rsidTr="0023773F">
        <w:tc>
          <w:tcPr>
            <w:tcW w:w="2254" w:type="dxa"/>
          </w:tcPr>
          <w:p w14:paraId="73CF6EDA" w14:textId="77777777" w:rsidR="008A4CB4" w:rsidRPr="007E21E5" w:rsidRDefault="008A4CB4" w:rsidP="0023773F">
            <w:pPr>
              <w:jc w:val="center"/>
              <w:rPr>
                <w:rFonts w:ascii="Trebuchet MS" w:hAnsi="Trebuchet MS"/>
                <w:b/>
                <w:bCs/>
              </w:rPr>
            </w:pPr>
            <w:r w:rsidRPr="007E21E5">
              <w:rPr>
                <w:rFonts w:ascii="Trebuchet MS" w:hAnsi="Trebuchet MS"/>
                <w:b/>
                <w:bCs/>
              </w:rPr>
              <w:t>Thickness of Course (mm)</w:t>
            </w:r>
          </w:p>
          <w:p w14:paraId="77DCA4EB" w14:textId="77777777" w:rsidR="008A4CB4" w:rsidRPr="007E21E5" w:rsidRDefault="008A4CB4" w:rsidP="0023773F">
            <w:pPr>
              <w:jc w:val="center"/>
              <w:rPr>
                <w:rFonts w:ascii="Trebuchet MS" w:hAnsi="Trebuchet MS"/>
                <w:b/>
                <w:bCs/>
              </w:rPr>
            </w:pPr>
          </w:p>
        </w:tc>
        <w:tc>
          <w:tcPr>
            <w:tcW w:w="2254" w:type="dxa"/>
          </w:tcPr>
          <w:p w14:paraId="66AFB1CC" w14:textId="77777777" w:rsidR="008A4CB4" w:rsidRPr="007E21E5" w:rsidRDefault="008A4CB4" w:rsidP="0023773F">
            <w:pPr>
              <w:jc w:val="center"/>
              <w:rPr>
                <w:rFonts w:ascii="Trebuchet MS" w:hAnsi="Trebuchet MS"/>
                <w:b/>
                <w:bCs/>
              </w:rPr>
            </w:pPr>
            <w:r w:rsidRPr="007E21E5">
              <w:rPr>
                <w:rFonts w:ascii="Trebuchet MS" w:hAnsi="Trebuchet MS"/>
                <w:b/>
                <w:bCs/>
              </w:rPr>
              <w:t>Nominal Size of</w:t>
            </w:r>
          </w:p>
          <w:p w14:paraId="7D44C4A2" w14:textId="77777777" w:rsidR="008A4CB4" w:rsidRPr="007E21E5" w:rsidRDefault="008A4CB4" w:rsidP="0023773F">
            <w:pPr>
              <w:jc w:val="center"/>
              <w:rPr>
                <w:rFonts w:ascii="Trebuchet MS" w:hAnsi="Trebuchet MS"/>
                <w:b/>
                <w:bCs/>
              </w:rPr>
            </w:pPr>
            <w:r w:rsidRPr="007E21E5">
              <w:rPr>
                <w:rFonts w:ascii="Trebuchet MS" w:hAnsi="Trebuchet MS"/>
                <w:b/>
                <w:bCs/>
              </w:rPr>
              <w:t>Aggregate</w:t>
            </w:r>
          </w:p>
        </w:tc>
        <w:tc>
          <w:tcPr>
            <w:tcW w:w="2254" w:type="dxa"/>
          </w:tcPr>
          <w:p w14:paraId="52387FC6" w14:textId="77777777" w:rsidR="008A4CB4" w:rsidRDefault="008A4CB4" w:rsidP="0023773F">
            <w:pPr>
              <w:jc w:val="center"/>
              <w:rPr>
                <w:rFonts w:ascii="Trebuchet MS" w:hAnsi="Trebuchet MS"/>
                <w:b/>
                <w:bCs/>
              </w:rPr>
            </w:pPr>
            <w:r w:rsidRPr="007E21E5">
              <w:rPr>
                <w:rFonts w:ascii="Trebuchet MS" w:hAnsi="Trebuchet MS"/>
                <w:b/>
                <w:bCs/>
              </w:rPr>
              <w:t xml:space="preserve">Full Grout </w:t>
            </w:r>
          </w:p>
          <w:p w14:paraId="5C8AB1C2" w14:textId="77777777" w:rsidR="008A4CB4" w:rsidRPr="007E21E5" w:rsidRDefault="008A4CB4" w:rsidP="0023773F">
            <w:pPr>
              <w:jc w:val="center"/>
              <w:rPr>
                <w:rFonts w:ascii="Trebuchet MS" w:hAnsi="Trebuchet MS"/>
                <w:b/>
                <w:bCs/>
              </w:rPr>
            </w:pPr>
            <w:r w:rsidRPr="007E21E5">
              <w:rPr>
                <w:rFonts w:ascii="Trebuchet MS" w:hAnsi="Trebuchet MS"/>
                <w:b/>
                <w:bCs/>
              </w:rPr>
              <w:t>(l/m²)</w:t>
            </w:r>
          </w:p>
        </w:tc>
        <w:tc>
          <w:tcPr>
            <w:tcW w:w="2254" w:type="dxa"/>
          </w:tcPr>
          <w:p w14:paraId="4FD24FB8" w14:textId="77777777" w:rsidR="008A4CB4" w:rsidRPr="007E21E5" w:rsidRDefault="008A4CB4" w:rsidP="0023773F">
            <w:pPr>
              <w:jc w:val="center"/>
              <w:rPr>
                <w:rFonts w:ascii="Trebuchet MS" w:hAnsi="Trebuchet MS"/>
                <w:b/>
                <w:bCs/>
              </w:rPr>
            </w:pPr>
            <w:r w:rsidRPr="007E21E5">
              <w:rPr>
                <w:rFonts w:ascii="Trebuchet MS" w:hAnsi="Trebuchet MS"/>
                <w:b/>
                <w:bCs/>
              </w:rPr>
              <w:t>Semi-grout</w:t>
            </w:r>
          </w:p>
          <w:p w14:paraId="5249236E" w14:textId="77777777" w:rsidR="008A4CB4" w:rsidRPr="007E21E5" w:rsidRDefault="008A4CB4" w:rsidP="0023773F">
            <w:pPr>
              <w:jc w:val="center"/>
              <w:rPr>
                <w:rFonts w:ascii="Trebuchet MS" w:hAnsi="Trebuchet MS"/>
                <w:b/>
                <w:bCs/>
              </w:rPr>
            </w:pPr>
            <w:r w:rsidRPr="007E21E5">
              <w:rPr>
                <w:rFonts w:ascii="Trebuchet MS" w:hAnsi="Trebuchet MS"/>
                <w:b/>
                <w:bCs/>
              </w:rPr>
              <w:t>(l/m²)</w:t>
            </w:r>
          </w:p>
        </w:tc>
      </w:tr>
      <w:tr w:rsidR="008A4CB4" w:rsidRPr="00682B2A" w14:paraId="32468DEB" w14:textId="77777777" w:rsidTr="0023773F">
        <w:tc>
          <w:tcPr>
            <w:tcW w:w="2254" w:type="dxa"/>
          </w:tcPr>
          <w:p w14:paraId="05F44ED0" w14:textId="77777777" w:rsidR="008A4CB4" w:rsidRDefault="008A4CB4" w:rsidP="0023773F">
            <w:pPr>
              <w:jc w:val="center"/>
              <w:rPr>
                <w:rFonts w:ascii="Trebuchet MS" w:hAnsi="Trebuchet MS"/>
              </w:rPr>
            </w:pPr>
            <w:r w:rsidRPr="00682B2A">
              <w:rPr>
                <w:rFonts w:ascii="Trebuchet MS" w:hAnsi="Trebuchet MS"/>
              </w:rPr>
              <w:t>50</w:t>
            </w:r>
          </w:p>
          <w:p w14:paraId="08803C29" w14:textId="77777777" w:rsidR="008A4CB4" w:rsidRPr="00682B2A" w:rsidRDefault="008A4CB4" w:rsidP="0023773F">
            <w:pPr>
              <w:jc w:val="center"/>
              <w:rPr>
                <w:rFonts w:ascii="Trebuchet MS" w:hAnsi="Trebuchet MS"/>
              </w:rPr>
            </w:pPr>
          </w:p>
        </w:tc>
        <w:tc>
          <w:tcPr>
            <w:tcW w:w="2254" w:type="dxa"/>
          </w:tcPr>
          <w:p w14:paraId="3A90A605" w14:textId="77777777" w:rsidR="008A4CB4" w:rsidRPr="00682B2A" w:rsidRDefault="008A4CB4" w:rsidP="0023773F">
            <w:pPr>
              <w:jc w:val="center"/>
              <w:rPr>
                <w:rFonts w:ascii="Trebuchet MS" w:hAnsi="Trebuchet MS"/>
              </w:rPr>
            </w:pPr>
            <w:r w:rsidRPr="00682B2A">
              <w:rPr>
                <w:rFonts w:ascii="Trebuchet MS" w:hAnsi="Trebuchet MS"/>
              </w:rPr>
              <w:t>40 mm down</w:t>
            </w:r>
          </w:p>
        </w:tc>
        <w:tc>
          <w:tcPr>
            <w:tcW w:w="2254" w:type="dxa"/>
          </w:tcPr>
          <w:p w14:paraId="5A3DDF56" w14:textId="77777777" w:rsidR="008A4CB4" w:rsidRPr="00682B2A" w:rsidRDefault="008A4CB4" w:rsidP="0023773F">
            <w:pPr>
              <w:jc w:val="center"/>
              <w:rPr>
                <w:rFonts w:ascii="Trebuchet MS" w:hAnsi="Trebuchet MS"/>
              </w:rPr>
            </w:pPr>
            <w:r w:rsidRPr="00682B2A">
              <w:rPr>
                <w:rFonts w:ascii="Trebuchet MS" w:hAnsi="Trebuchet MS"/>
              </w:rPr>
              <w:t>5.5 - 7.0</w:t>
            </w:r>
          </w:p>
        </w:tc>
        <w:tc>
          <w:tcPr>
            <w:tcW w:w="2254" w:type="dxa"/>
          </w:tcPr>
          <w:p w14:paraId="12ADD810" w14:textId="77777777" w:rsidR="008A4CB4" w:rsidRPr="00682B2A" w:rsidRDefault="008A4CB4" w:rsidP="0023773F">
            <w:pPr>
              <w:jc w:val="center"/>
              <w:rPr>
                <w:rFonts w:ascii="Trebuchet MS" w:hAnsi="Trebuchet MS"/>
              </w:rPr>
            </w:pPr>
            <w:r w:rsidRPr="00682B2A">
              <w:rPr>
                <w:rFonts w:ascii="Trebuchet MS" w:hAnsi="Trebuchet MS"/>
              </w:rPr>
              <w:t>3.0 - 5.5</w:t>
            </w:r>
          </w:p>
        </w:tc>
      </w:tr>
      <w:tr w:rsidR="008A4CB4" w:rsidRPr="00682B2A" w14:paraId="3B8F9186" w14:textId="77777777" w:rsidTr="0023773F">
        <w:tc>
          <w:tcPr>
            <w:tcW w:w="2254" w:type="dxa"/>
          </w:tcPr>
          <w:p w14:paraId="57BF3B60" w14:textId="77777777" w:rsidR="008A4CB4" w:rsidRDefault="008A4CB4" w:rsidP="0023773F">
            <w:pPr>
              <w:jc w:val="center"/>
              <w:rPr>
                <w:rFonts w:ascii="Trebuchet MS" w:hAnsi="Trebuchet MS"/>
              </w:rPr>
            </w:pPr>
            <w:r w:rsidRPr="00682B2A">
              <w:rPr>
                <w:rFonts w:ascii="Trebuchet MS" w:hAnsi="Trebuchet MS"/>
              </w:rPr>
              <w:t>65</w:t>
            </w:r>
          </w:p>
          <w:p w14:paraId="5E55A4E5" w14:textId="77777777" w:rsidR="008A4CB4" w:rsidRPr="00682B2A" w:rsidRDefault="008A4CB4" w:rsidP="0023773F">
            <w:pPr>
              <w:jc w:val="center"/>
              <w:rPr>
                <w:rFonts w:ascii="Trebuchet MS" w:hAnsi="Trebuchet MS"/>
              </w:rPr>
            </w:pPr>
          </w:p>
        </w:tc>
        <w:tc>
          <w:tcPr>
            <w:tcW w:w="2254" w:type="dxa"/>
          </w:tcPr>
          <w:p w14:paraId="16A3C8EC" w14:textId="77777777" w:rsidR="008A4CB4" w:rsidRPr="00682B2A" w:rsidRDefault="008A4CB4" w:rsidP="0023773F">
            <w:pPr>
              <w:jc w:val="center"/>
              <w:rPr>
                <w:rFonts w:ascii="Trebuchet MS" w:hAnsi="Trebuchet MS"/>
              </w:rPr>
            </w:pPr>
            <w:r w:rsidRPr="00682B2A">
              <w:rPr>
                <w:rFonts w:ascii="Trebuchet MS" w:hAnsi="Trebuchet MS"/>
              </w:rPr>
              <w:t>50 mm down</w:t>
            </w:r>
          </w:p>
        </w:tc>
        <w:tc>
          <w:tcPr>
            <w:tcW w:w="2254" w:type="dxa"/>
          </w:tcPr>
          <w:p w14:paraId="245FD682" w14:textId="77777777" w:rsidR="008A4CB4" w:rsidRPr="00682B2A" w:rsidRDefault="008A4CB4" w:rsidP="0023773F">
            <w:pPr>
              <w:jc w:val="center"/>
              <w:rPr>
                <w:rFonts w:ascii="Trebuchet MS" w:hAnsi="Trebuchet MS"/>
              </w:rPr>
            </w:pPr>
            <w:r w:rsidRPr="00682B2A">
              <w:rPr>
                <w:rFonts w:ascii="Trebuchet MS" w:hAnsi="Trebuchet MS"/>
              </w:rPr>
              <w:t>7.0 - 9.5</w:t>
            </w:r>
          </w:p>
        </w:tc>
        <w:tc>
          <w:tcPr>
            <w:tcW w:w="2254" w:type="dxa"/>
          </w:tcPr>
          <w:p w14:paraId="0BB50BBA" w14:textId="77777777" w:rsidR="008A4CB4" w:rsidRPr="00682B2A" w:rsidRDefault="008A4CB4" w:rsidP="0023773F">
            <w:pPr>
              <w:jc w:val="center"/>
              <w:rPr>
                <w:rFonts w:ascii="Trebuchet MS" w:hAnsi="Trebuchet MS"/>
              </w:rPr>
            </w:pPr>
            <w:r w:rsidRPr="00682B2A">
              <w:rPr>
                <w:rFonts w:ascii="Trebuchet MS" w:hAnsi="Trebuchet MS"/>
              </w:rPr>
              <w:t>4.0 - 7.0</w:t>
            </w:r>
          </w:p>
        </w:tc>
      </w:tr>
      <w:tr w:rsidR="008A4CB4" w:rsidRPr="00682B2A" w14:paraId="362CE157" w14:textId="77777777" w:rsidTr="0023773F">
        <w:tc>
          <w:tcPr>
            <w:tcW w:w="2254" w:type="dxa"/>
          </w:tcPr>
          <w:p w14:paraId="0DCE88F1" w14:textId="77777777" w:rsidR="008A4CB4" w:rsidRDefault="008A4CB4" w:rsidP="0023773F">
            <w:pPr>
              <w:jc w:val="center"/>
              <w:rPr>
                <w:rFonts w:ascii="Trebuchet MS" w:hAnsi="Trebuchet MS"/>
              </w:rPr>
            </w:pPr>
            <w:r w:rsidRPr="00682B2A">
              <w:rPr>
                <w:rFonts w:ascii="Trebuchet MS" w:hAnsi="Trebuchet MS"/>
              </w:rPr>
              <w:t>75</w:t>
            </w:r>
          </w:p>
          <w:p w14:paraId="47682F10" w14:textId="77777777" w:rsidR="008A4CB4" w:rsidRPr="00682B2A" w:rsidRDefault="008A4CB4" w:rsidP="0023773F">
            <w:pPr>
              <w:jc w:val="center"/>
              <w:rPr>
                <w:rFonts w:ascii="Trebuchet MS" w:hAnsi="Trebuchet MS"/>
              </w:rPr>
            </w:pPr>
          </w:p>
        </w:tc>
        <w:tc>
          <w:tcPr>
            <w:tcW w:w="2254" w:type="dxa"/>
          </w:tcPr>
          <w:p w14:paraId="02E2446B" w14:textId="77777777" w:rsidR="008A4CB4" w:rsidRPr="00682B2A" w:rsidRDefault="008A4CB4" w:rsidP="0023773F">
            <w:pPr>
              <w:jc w:val="center"/>
              <w:rPr>
                <w:rFonts w:ascii="Trebuchet MS" w:hAnsi="Trebuchet MS"/>
              </w:rPr>
            </w:pPr>
            <w:r w:rsidRPr="00682B2A">
              <w:rPr>
                <w:rFonts w:ascii="Trebuchet MS" w:hAnsi="Trebuchet MS"/>
              </w:rPr>
              <w:t>50 mm down</w:t>
            </w:r>
          </w:p>
        </w:tc>
        <w:tc>
          <w:tcPr>
            <w:tcW w:w="2254" w:type="dxa"/>
          </w:tcPr>
          <w:p w14:paraId="3D677AEA" w14:textId="77777777" w:rsidR="008A4CB4" w:rsidRPr="00682B2A" w:rsidRDefault="008A4CB4" w:rsidP="0023773F">
            <w:pPr>
              <w:jc w:val="center"/>
              <w:rPr>
                <w:rFonts w:ascii="Trebuchet MS" w:hAnsi="Trebuchet MS"/>
              </w:rPr>
            </w:pPr>
            <w:r w:rsidRPr="00682B2A">
              <w:rPr>
                <w:rFonts w:ascii="Trebuchet MS" w:hAnsi="Trebuchet MS"/>
              </w:rPr>
              <w:t>9.5 - 11.0</w:t>
            </w:r>
          </w:p>
        </w:tc>
        <w:tc>
          <w:tcPr>
            <w:tcW w:w="2254" w:type="dxa"/>
          </w:tcPr>
          <w:p w14:paraId="45E325C5" w14:textId="77777777" w:rsidR="008A4CB4" w:rsidRPr="00682B2A" w:rsidRDefault="008A4CB4" w:rsidP="0023773F">
            <w:pPr>
              <w:jc w:val="center"/>
              <w:rPr>
                <w:rFonts w:ascii="Trebuchet MS" w:hAnsi="Trebuchet MS"/>
              </w:rPr>
            </w:pPr>
            <w:r w:rsidRPr="00682B2A">
              <w:rPr>
                <w:rFonts w:ascii="Trebuchet MS" w:hAnsi="Trebuchet MS"/>
              </w:rPr>
              <w:t>5.5 - 8.0</w:t>
            </w:r>
          </w:p>
        </w:tc>
      </w:tr>
    </w:tbl>
    <w:p w14:paraId="72CD9A39" w14:textId="77777777" w:rsidR="008A4CB4" w:rsidRDefault="008A4CB4" w:rsidP="008A4CB4">
      <w:pPr>
        <w:jc w:val="both"/>
        <w:rPr>
          <w:rFonts w:ascii="Trebuchet MS" w:hAnsi="Trebuchet MS"/>
        </w:rPr>
      </w:pPr>
    </w:p>
    <w:p w14:paraId="1A98B9D8" w14:textId="77777777" w:rsidR="005909CA" w:rsidRPr="007817B3" w:rsidRDefault="005909CA" w:rsidP="00DF71F8">
      <w:pPr>
        <w:jc w:val="both"/>
        <w:rPr>
          <w:rFonts w:ascii="Trebuchet MS" w:hAnsi="Trebuchet MS"/>
        </w:rPr>
      </w:pPr>
    </w:p>
    <w:p w14:paraId="3E1BEE52" w14:textId="4C4C56B8" w:rsidR="00ED27CC" w:rsidRPr="007817B3" w:rsidRDefault="008E45EB" w:rsidP="00DF71F8">
      <w:pPr>
        <w:jc w:val="both"/>
        <w:rPr>
          <w:rFonts w:ascii="Trebuchet MS" w:hAnsi="Trebuchet MS"/>
        </w:rPr>
      </w:pPr>
      <w:r w:rsidRPr="007817B3">
        <w:rPr>
          <w:rFonts w:ascii="Trebuchet MS" w:hAnsi="Trebuchet MS"/>
        </w:rPr>
        <w:t xml:space="preserve">The emulsion used is usually class C60B3, C60BF3, C69B3, or C69BP3 but other grades of emulsion may be used by agreement between purchaser and supplier. Immediately after application of emulsion, clean 2.8/6.3mm or 6.3/10mm chippings should be spread uniformly over the surface to fill the interstices. </w:t>
      </w:r>
    </w:p>
    <w:p w14:paraId="2458B8F0" w14:textId="77777777" w:rsidR="00ED27CC" w:rsidRPr="00310F54" w:rsidRDefault="008E45EB" w:rsidP="00DF71F8">
      <w:pPr>
        <w:jc w:val="both"/>
        <w:rPr>
          <w:rFonts w:ascii="Trebuchet MS" w:hAnsi="Trebuchet MS"/>
          <w:b/>
          <w:bCs/>
        </w:rPr>
      </w:pPr>
      <w:r w:rsidRPr="00310F54">
        <w:rPr>
          <w:rFonts w:ascii="Trebuchet MS" w:hAnsi="Trebuchet MS"/>
          <w:b/>
          <w:bCs/>
        </w:rPr>
        <w:t xml:space="preserve">3.4 Application of Emulsion for thicknesses above 75mm </w:t>
      </w:r>
    </w:p>
    <w:p w14:paraId="2C148713" w14:textId="34CC0997" w:rsidR="00DB102E" w:rsidRPr="007817B3" w:rsidRDefault="008E45EB" w:rsidP="00DF71F8">
      <w:pPr>
        <w:jc w:val="both"/>
        <w:rPr>
          <w:rFonts w:ascii="Trebuchet MS" w:hAnsi="Trebuchet MS"/>
        </w:rPr>
      </w:pPr>
      <w:r w:rsidRPr="007817B3">
        <w:rPr>
          <w:rFonts w:ascii="Trebuchet MS" w:hAnsi="Trebuchet MS"/>
        </w:rPr>
        <w:t xml:space="preserve">Should a finished thickness of over 75mm be specified the aggregate should be spread, compacted and grouted with emulsion in two separate layers. The bottom layer should not have a thickness less than that of the top layer and the size of the aggregate should be appropriate to the thickness of each course. After the bottom course has been grouted the second layer of aggregate should be spread immediately, followed by compaction and grouting. The surface interstices of the second layer </w:t>
      </w:r>
      <w:r w:rsidR="001D2B79" w:rsidRPr="007817B3">
        <w:rPr>
          <w:rFonts w:ascii="Trebuchet MS" w:hAnsi="Trebuchet MS"/>
        </w:rPr>
        <w:t xml:space="preserve">are </w:t>
      </w:r>
      <w:r w:rsidRPr="007817B3">
        <w:rPr>
          <w:rFonts w:ascii="Trebuchet MS" w:hAnsi="Trebuchet MS"/>
        </w:rPr>
        <w:t xml:space="preserve">only filled with chippings as in the case of a single course grout. </w:t>
      </w:r>
    </w:p>
    <w:p w14:paraId="0645EB5C" w14:textId="127F4288" w:rsidR="00F751C7" w:rsidRPr="007817B3" w:rsidRDefault="008E45EB" w:rsidP="00DF71F8">
      <w:pPr>
        <w:jc w:val="both"/>
        <w:rPr>
          <w:rFonts w:ascii="Trebuchet MS" w:hAnsi="Trebuchet MS"/>
        </w:rPr>
      </w:pPr>
      <w:r w:rsidRPr="007817B3">
        <w:rPr>
          <w:rFonts w:ascii="Trebuchet MS" w:hAnsi="Trebuchet MS"/>
        </w:rPr>
        <w:t xml:space="preserve">Work which is subsequently jointed should be finished off by layering and rolling a feathered edge not less than 300mm in width. Later this is cut back to a clean vertical face immediately before laying new material. </w:t>
      </w:r>
    </w:p>
    <w:p w14:paraId="15FB5282" w14:textId="77777777" w:rsidR="00DB102E" w:rsidRPr="00310F54" w:rsidRDefault="008E45EB" w:rsidP="00DF71F8">
      <w:pPr>
        <w:jc w:val="both"/>
        <w:rPr>
          <w:rFonts w:ascii="Trebuchet MS" w:hAnsi="Trebuchet MS"/>
          <w:b/>
          <w:bCs/>
        </w:rPr>
      </w:pPr>
      <w:r w:rsidRPr="00310F54">
        <w:rPr>
          <w:rFonts w:ascii="Trebuchet MS" w:hAnsi="Trebuchet MS"/>
          <w:b/>
          <w:bCs/>
        </w:rPr>
        <w:t xml:space="preserve">3.5 Surface Dressing </w:t>
      </w:r>
    </w:p>
    <w:p w14:paraId="3944BAA8" w14:textId="1A28A858" w:rsidR="00DB102E" w:rsidRPr="007817B3" w:rsidRDefault="008E45EB" w:rsidP="00DF71F8">
      <w:pPr>
        <w:jc w:val="both"/>
        <w:rPr>
          <w:rFonts w:ascii="Trebuchet MS" w:hAnsi="Trebuchet MS"/>
        </w:rPr>
      </w:pPr>
      <w:r w:rsidRPr="007817B3">
        <w:rPr>
          <w:rFonts w:ascii="Trebuchet MS" w:hAnsi="Trebuchet MS"/>
        </w:rPr>
        <w:t>After a stabilisation period of several days, the surface should be swept and sealed with a surface dressing of bitumen emulsion selected from classes C60B3</w:t>
      </w:r>
      <w:r w:rsidR="001D2B79">
        <w:rPr>
          <w:rFonts w:ascii="Trebuchet MS" w:hAnsi="Trebuchet MS"/>
        </w:rPr>
        <w:t xml:space="preserve">, </w:t>
      </w:r>
      <w:r w:rsidRPr="007817B3">
        <w:rPr>
          <w:rFonts w:ascii="Trebuchet MS" w:hAnsi="Trebuchet MS"/>
        </w:rPr>
        <w:t>C60BF3</w:t>
      </w:r>
      <w:r w:rsidR="001D2B79">
        <w:rPr>
          <w:rFonts w:ascii="Trebuchet MS" w:hAnsi="Trebuchet MS"/>
        </w:rPr>
        <w:t>,</w:t>
      </w:r>
      <w:r w:rsidRPr="007817B3">
        <w:rPr>
          <w:rFonts w:ascii="Trebuchet MS" w:hAnsi="Trebuchet MS"/>
        </w:rPr>
        <w:t xml:space="preserve"> C69B3, C69BP3 or other grades of emulsion by agreement between purchaser and supplier at an application rate of 0.9 to 1.4 l/m</w:t>
      </w:r>
      <w:r w:rsidRPr="007817B3">
        <w:rPr>
          <w:rFonts w:ascii="Trebuchet MS" w:hAnsi="Trebuchet MS"/>
          <w:vertAlign w:val="superscript"/>
        </w:rPr>
        <w:t>2</w:t>
      </w:r>
      <w:r w:rsidRPr="007817B3">
        <w:rPr>
          <w:rFonts w:ascii="Trebuchet MS" w:hAnsi="Trebuchet MS"/>
        </w:rPr>
        <w:t xml:space="preserve"> with 6.3/10mm or 8/14mm chippings. For heavily trafficked roads, </w:t>
      </w:r>
      <w:r w:rsidR="004F0071" w:rsidRPr="007817B3">
        <w:rPr>
          <w:rFonts w:ascii="Trebuchet MS" w:hAnsi="Trebuchet MS"/>
        </w:rPr>
        <w:t>a second surface dressing of emulsion</w:t>
      </w:r>
      <w:r w:rsidRPr="007817B3">
        <w:rPr>
          <w:rFonts w:ascii="Trebuchet MS" w:hAnsi="Trebuchet MS"/>
        </w:rPr>
        <w:t xml:space="preserve"> of the same class and rate of application, and 8/14mm chippings should be applied about two or three months after the first application, to provide a non-skid surface. </w:t>
      </w:r>
    </w:p>
    <w:p w14:paraId="44E53DD8" w14:textId="77777777" w:rsidR="00F751C7" w:rsidRPr="007817B3" w:rsidRDefault="00F751C7" w:rsidP="00DF71F8">
      <w:pPr>
        <w:jc w:val="both"/>
        <w:rPr>
          <w:rFonts w:ascii="Trebuchet MS" w:hAnsi="Trebuchet MS"/>
        </w:rPr>
      </w:pPr>
    </w:p>
    <w:p w14:paraId="06AAF520" w14:textId="5A0C0D79" w:rsidR="00AB7E88" w:rsidRPr="00310F54" w:rsidRDefault="008E45EB" w:rsidP="00DF71F8">
      <w:pPr>
        <w:jc w:val="both"/>
        <w:rPr>
          <w:rFonts w:ascii="Trebuchet MS" w:hAnsi="Trebuchet MS"/>
          <w:b/>
          <w:bCs/>
        </w:rPr>
      </w:pPr>
      <w:r w:rsidRPr="00310F54">
        <w:rPr>
          <w:rFonts w:ascii="Trebuchet MS" w:hAnsi="Trebuchet MS"/>
          <w:b/>
          <w:bCs/>
        </w:rPr>
        <w:t>4. Spray Injection Patch</w:t>
      </w:r>
      <w:r w:rsidR="00AB7E88" w:rsidRPr="00310F54">
        <w:rPr>
          <w:rFonts w:ascii="Trebuchet MS" w:hAnsi="Trebuchet MS"/>
          <w:b/>
          <w:bCs/>
        </w:rPr>
        <w:t>ing</w:t>
      </w:r>
    </w:p>
    <w:p w14:paraId="20C591FD" w14:textId="06F1FD60" w:rsidR="00DF1231" w:rsidRPr="007817B3" w:rsidRDefault="008E45EB" w:rsidP="00DF71F8">
      <w:pPr>
        <w:jc w:val="both"/>
        <w:rPr>
          <w:rFonts w:ascii="Trebuchet MS" w:hAnsi="Trebuchet MS"/>
        </w:rPr>
      </w:pPr>
      <w:r w:rsidRPr="007817B3">
        <w:rPr>
          <w:rFonts w:ascii="Trebuchet MS" w:hAnsi="Trebuchet MS"/>
        </w:rPr>
        <w:t xml:space="preserve">Spray Injection Patching (formerly referred to as Velocity Patching) is the term used to describe a process utilizing specialist proprietary machines that provide an in-situ patching repair as an alternative to conventional patching. The process is generally restricted to less heavily trafficked roads, mainly in rural locations, although it is also used for emergency repairs and semi-permanent repairs on strategic roads, hard shoulders and motorways in suitable circumstances. </w:t>
      </w:r>
      <w:r w:rsidR="00F751C7" w:rsidRPr="007817B3">
        <w:rPr>
          <w:rFonts w:ascii="Trebuchet MS" w:hAnsi="Trebuchet MS"/>
        </w:rPr>
        <w:t>Gui</w:t>
      </w:r>
      <w:r w:rsidR="007B3057" w:rsidRPr="007817B3">
        <w:rPr>
          <w:rFonts w:ascii="Trebuchet MS" w:hAnsi="Trebuchet MS"/>
        </w:rPr>
        <w:t>dance for the use of Spray Injection Patching is given in BS</w:t>
      </w:r>
      <w:r w:rsidR="002C0D7D">
        <w:rPr>
          <w:rFonts w:ascii="Trebuchet MS" w:hAnsi="Trebuchet MS"/>
        </w:rPr>
        <w:t xml:space="preserve"> </w:t>
      </w:r>
      <w:r w:rsidR="00F32CCD" w:rsidRPr="007817B3">
        <w:rPr>
          <w:rFonts w:ascii="Trebuchet MS" w:hAnsi="Trebuchet MS"/>
        </w:rPr>
        <w:t>10947 [2].</w:t>
      </w:r>
    </w:p>
    <w:p w14:paraId="56F18581" w14:textId="77777777" w:rsidR="00C53F66" w:rsidRDefault="008E45EB" w:rsidP="00DF71F8">
      <w:pPr>
        <w:jc w:val="both"/>
        <w:rPr>
          <w:rFonts w:ascii="Trebuchet MS" w:hAnsi="Trebuchet MS"/>
        </w:rPr>
      </w:pPr>
      <w:r w:rsidRPr="007817B3">
        <w:rPr>
          <w:rFonts w:ascii="Trebuchet MS" w:hAnsi="Trebuchet MS"/>
        </w:rPr>
        <w:t xml:space="preserve">The process utilizes plant which provides a stream of </w:t>
      </w:r>
      <w:proofErr w:type="gramStart"/>
      <w:r w:rsidRPr="007817B3">
        <w:rPr>
          <w:rFonts w:ascii="Trebuchet MS" w:hAnsi="Trebuchet MS"/>
        </w:rPr>
        <w:t>high volume, low pressure</w:t>
      </w:r>
      <w:proofErr w:type="gramEnd"/>
      <w:r w:rsidRPr="007817B3">
        <w:rPr>
          <w:rFonts w:ascii="Trebuchet MS" w:hAnsi="Trebuchet MS"/>
        </w:rPr>
        <w:t xml:space="preserve"> air to remove unsound material and clean the defective area. Bitumen emulsion is then fed into the airstream to prime the exposed surfaces of the defective area before clean aggregate is also added to the airstream, simultaneously with emulsion. This results in bitumen emulsion coated aggregate being forced into the base of the defective area/pothole, building and consolidating simultaneously up to a finished level. The repair may be completed with a surface coating of clean aggregate if required, and the repair can normally be trafficked immediately after laying. In areas subjected to turning or heavier traffic, or for surface dressing pre-patching, additional compaction of the repair by pedestrian roller or vibrating plate may be utilized before trafficking. </w:t>
      </w:r>
    </w:p>
    <w:p w14:paraId="0E2EAFAC" w14:textId="77777777" w:rsidR="00C53F66" w:rsidRDefault="00C53F66" w:rsidP="00DF71F8">
      <w:pPr>
        <w:jc w:val="both"/>
        <w:rPr>
          <w:rFonts w:ascii="Trebuchet MS" w:hAnsi="Trebuchet MS"/>
        </w:rPr>
      </w:pPr>
    </w:p>
    <w:p w14:paraId="592FC8B6" w14:textId="77777777" w:rsidR="00C53F66" w:rsidRDefault="00C53F66" w:rsidP="00DF71F8">
      <w:pPr>
        <w:jc w:val="both"/>
        <w:rPr>
          <w:rFonts w:ascii="Trebuchet MS" w:hAnsi="Trebuchet MS"/>
        </w:rPr>
      </w:pPr>
    </w:p>
    <w:p w14:paraId="7B5B9C9E" w14:textId="30160E4F" w:rsidR="00DF1231" w:rsidRPr="007817B3" w:rsidRDefault="008E45EB" w:rsidP="00DF71F8">
      <w:pPr>
        <w:jc w:val="both"/>
        <w:rPr>
          <w:rFonts w:ascii="Trebuchet MS" w:hAnsi="Trebuchet MS"/>
        </w:rPr>
      </w:pPr>
      <w:r w:rsidRPr="007817B3">
        <w:rPr>
          <w:rFonts w:ascii="Trebuchet MS" w:hAnsi="Trebuchet MS"/>
        </w:rPr>
        <w:t>The bitumen emulsion used will be a proprietary formulation conforming to BS</w:t>
      </w:r>
      <w:r w:rsidR="00D321D0">
        <w:rPr>
          <w:rFonts w:ascii="Trebuchet MS" w:hAnsi="Trebuchet MS"/>
        </w:rPr>
        <w:t xml:space="preserve"> </w:t>
      </w:r>
      <w:r w:rsidRPr="007817B3">
        <w:rPr>
          <w:rFonts w:ascii="Trebuchet MS" w:hAnsi="Trebuchet MS"/>
        </w:rPr>
        <w:t>EN</w:t>
      </w:r>
      <w:r w:rsidR="003F48EF">
        <w:rPr>
          <w:rFonts w:ascii="Trebuchet MS" w:hAnsi="Trebuchet MS"/>
        </w:rPr>
        <w:t xml:space="preserve"> </w:t>
      </w:r>
      <w:r w:rsidRPr="007817B3">
        <w:rPr>
          <w:rFonts w:ascii="Trebuchet MS" w:hAnsi="Trebuchet MS"/>
        </w:rPr>
        <w:t>13808 to suit the individual machine and time o</w:t>
      </w:r>
      <w:r w:rsidR="009C4A4C">
        <w:rPr>
          <w:rFonts w:ascii="Trebuchet MS" w:hAnsi="Trebuchet MS"/>
        </w:rPr>
        <w:t>f year</w:t>
      </w:r>
      <w:r w:rsidRPr="007817B3">
        <w:rPr>
          <w:rFonts w:ascii="Trebuchet MS" w:hAnsi="Trebuchet MS"/>
        </w:rPr>
        <w:t xml:space="preserve">, with a binder content typically in the range of 60-70% and formulated to give optimum coating and breaking characteristics. Both unmodified and modified grades are available, depending on the site application. </w:t>
      </w:r>
    </w:p>
    <w:p w14:paraId="2C54E793" w14:textId="4D214063" w:rsidR="00811903" w:rsidRPr="007817B3" w:rsidRDefault="008E45EB" w:rsidP="00DF71F8">
      <w:pPr>
        <w:jc w:val="both"/>
        <w:rPr>
          <w:rFonts w:ascii="Trebuchet MS" w:hAnsi="Trebuchet MS"/>
        </w:rPr>
      </w:pPr>
      <w:r w:rsidRPr="007817B3">
        <w:rPr>
          <w:rFonts w:ascii="Trebuchet MS" w:hAnsi="Trebuchet MS"/>
        </w:rPr>
        <w:t>Clean washed surface dressing grade chippings complying with BS EN 13043 are used, typically 2.8/6.3 mm grading. Aggregate</w:t>
      </w:r>
      <w:r w:rsidR="00BF20B9">
        <w:rPr>
          <w:rFonts w:ascii="Trebuchet MS" w:hAnsi="Trebuchet MS"/>
        </w:rPr>
        <w:t>s</w:t>
      </w:r>
      <w:r w:rsidRPr="007817B3">
        <w:rPr>
          <w:rFonts w:ascii="Trebuchet MS" w:hAnsi="Trebuchet MS"/>
        </w:rPr>
        <w:t xml:space="preserve"> must be assessed to ensure </w:t>
      </w:r>
      <w:r w:rsidR="000F0F85">
        <w:rPr>
          <w:rFonts w:ascii="Trebuchet MS" w:hAnsi="Trebuchet MS"/>
        </w:rPr>
        <w:t xml:space="preserve">they are compatible with the emulsion </w:t>
      </w:r>
      <w:r w:rsidR="004929B2">
        <w:rPr>
          <w:rFonts w:ascii="Trebuchet MS" w:hAnsi="Trebuchet MS"/>
        </w:rPr>
        <w:t xml:space="preserve">being used </w:t>
      </w:r>
      <w:r w:rsidR="000F0F85">
        <w:rPr>
          <w:rFonts w:ascii="Trebuchet MS" w:hAnsi="Trebuchet MS"/>
        </w:rPr>
        <w:t xml:space="preserve">to </w:t>
      </w:r>
      <w:r w:rsidR="002459D3">
        <w:rPr>
          <w:rFonts w:ascii="Trebuchet MS" w:hAnsi="Trebuchet MS"/>
        </w:rPr>
        <w:t xml:space="preserve">ensure </w:t>
      </w:r>
      <w:r w:rsidRPr="007817B3">
        <w:rPr>
          <w:rFonts w:ascii="Trebuchet MS" w:hAnsi="Trebuchet MS"/>
        </w:rPr>
        <w:t xml:space="preserve">full </w:t>
      </w:r>
      <w:r w:rsidR="002459D3">
        <w:rPr>
          <w:rFonts w:ascii="Trebuchet MS" w:hAnsi="Trebuchet MS"/>
        </w:rPr>
        <w:t>coating</w:t>
      </w:r>
      <w:r w:rsidRPr="007817B3">
        <w:rPr>
          <w:rFonts w:ascii="Trebuchet MS" w:hAnsi="Trebuchet MS"/>
        </w:rPr>
        <w:t xml:space="preserve"> and applied into the repair without premature breakin</w:t>
      </w:r>
      <w:r w:rsidR="000F0F85">
        <w:rPr>
          <w:rFonts w:ascii="Trebuchet MS" w:hAnsi="Trebuchet MS"/>
        </w:rPr>
        <w:t>g</w:t>
      </w:r>
      <w:r w:rsidRPr="007817B3">
        <w:rPr>
          <w:rFonts w:ascii="Trebuchet MS" w:hAnsi="Trebuchet MS"/>
        </w:rPr>
        <w:t xml:space="preserve">. Assessment includes determination of adhesivity with BS EN 13614 </w:t>
      </w:r>
      <w:r w:rsidR="00C37687">
        <w:rPr>
          <w:rFonts w:ascii="Trebuchet MS" w:hAnsi="Trebuchet MS"/>
        </w:rPr>
        <w:t xml:space="preserve">[3] </w:t>
      </w:r>
      <w:r w:rsidRPr="007817B3">
        <w:rPr>
          <w:rFonts w:ascii="Trebuchet MS" w:hAnsi="Trebuchet MS"/>
        </w:rPr>
        <w:t xml:space="preserve">and use of the Snowball Test described in Annex A of BS 10947 to demonstrate the chipping can form a cohesive mixture. The use of dirty or dusty chippings – e.g. surface dressing sweepings – is NOT advised, as it can result in poor coating of the aggregate and likely failure of the repair. </w:t>
      </w:r>
    </w:p>
    <w:p w14:paraId="7AAF9471" w14:textId="1681DBD8" w:rsidR="00811903" w:rsidRDefault="008E45EB" w:rsidP="00DF71F8">
      <w:pPr>
        <w:jc w:val="both"/>
        <w:rPr>
          <w:rFonts w:ascii="Trebuchet MS" w:hAnsi="Trebuchet MS"/>
        </w:rPr>
      </w:pPr>
      <w:r w:rsidRPr="007817B3">
        <w:rPr>
          <w:rFonts w:ascii="Trebuchet MS" w:hAnsi="Trebuchet MS"/>
        </w:rPr>
        <w:t>Original guidance in BS 434-2</w:t>
      </w:r>
      <w:r w:rsidR="00554892">
        <w:rPr>
          <w:rFonts w:ascii="Trebuchet MS" w:hAnsi="Trebuchet MS"/>
        </w:rPr>
        <w:t xml:space="preserve"> [4] </w:t>
      </w:r>
      <w:r w:rsidRPr="007817B3">
        <w:rPr>
          <w:rFonts w:ascii="Trebuchet MS" w:hAnsi="Trebuchet MS"/>
        </w:rPr>
        <w:t xml:space="preserve">noted that Spray Injection Patching is a seasonal process in a similar way to Surface Dressing, and for best results the Spray Injection Patching season could generally be considered to start 4-6 weeks before the Surface Dressing season, and finish around the same time. That guidance is still valid for maximum productivity and success, however development of seasonal grades of emulsions has enabled the season to be extended for emergency and temporary repairs, and in suitable conditions for semi-permanent repairs. Some seasonal conditions, however, will be outside the scope of possible or practical variations to the emulsion. Conditions that should be avoided </w:t>
      </w:r>
      <w:proofErr w:type="gramStart"/>
      <w:r w:rsidRPr="007817B3">
        <w:rPr>
          <w:rFonts w:ascii="Trebuchet MS" w:hAnsi="Trebuchet MS"/>
        </w:rPr>
        <w:t>include:-</w:t>
      </w:r>
      <w:proofErr w:type="gramEnd"/>
      <w:r w:rsidRPr="007817B3">
        <w:rPr>
          <w:rFonts w:ascii="Trebuchet MS" w:hAnsi="Trebuchet MS"/>
        </w:rPr>
        <w:t xml:space="preserve"> </w:t>
      </w:r>
    </w:p>
    <w:p w14:paraId="29BA70D4" w14:textId="77777777" w:rsidR="00C53F66" w:rsidRPr="007817B3" w:rsidRDefault="00C53F66" w:rsidP="00DF71F8">
      <w:pPr>
        <w:jc w:val="both"/>
        <w:rPr>
          <w:rFonts w:ascii="Trebuchet MS" w:hAnsi="Trebuchet MS"/>
        </w:rPr>
      </w:pPr>
    </w:p>
    <w:p w14:paraId="45D4BED7" w14:textId="77777777" w:rsidR="00811903" w:rsidRPr="007817B3" w:rsidRDefault="008E45EB" w:rsidP="00DF71F8">
      <w:pPr>
        <w:jc w:val="both"/>
        <w:rPr>
          <w:rFonts w:ascii="Trebuchet MS" w:hAnsi="Trebuchet MS"/>
        </w:rPr>
      </w:pPr>
      <w:r w:rsidRPr="007817B3">
        <w:rPr>
          <w:rFonts w:ascii="Trebuchet MS" w:hAnsi="Trebuchet MS"/>
        </w:rPr>
        <w:t xml:space="preserve">• Existing or predicted frost or snow </w:t>
      </w:r>
    </w:p>
    <w:p w14:paraId="5350FA78" w14:textId="77777777" w:rsidR="00811903" w:rsidRPr="007817B3" w:rsidRDefault="008E45EB" w:rsidP="00DF71F8">
      <w:pPr>
        <w:jc w:val="both"/>
        <w:rPr>
          <w:rFonts w:ascii="Trebuchet MS" w:hAnsi="Trebuchet MS"/>
        </w:rPr>
      </w:pPr>
      <w:r w:rsidRPr="007817B3">
        <w:rPr>
          <w:rFonts w:ascii="Trebuchet MS" w:hAnsi="Trebuchet MS"/>
        </w:rPr>
        <w:t xml:space="preserve">• Road and / or air temperatures too low </w:t>
      </w:r>
    </w:p>
    <w:p w14:paraId="45A45600" w14:textId="77777777" w:rsidR="00811903" w:rsidRPr="007817B3" w:rsidRDefault="008E45EB" w:rsidP="00DF71F8">
      <w:pPr>
        <w:jc w:val="both"/>
        <w:rPr>
          <w:rFonts w:ascii="Trebuchet MS" w:hAnsi="Trebuchet MS"/>
        </w:rPr>
      </w:pPr>
      <w:r w:rsidRPr="007817B3">
        <w:rPr>
          <w:rFonts w:ascii="Trebuchet MS" w:hAnsi="Trebuchet MS"/>
        </w:rPr>
        <w:t xml:space="preserve">• Prolonged wet periods </w:t>
      </w:r>
    </w:p>
    <w:p w14:paraId="34E45696" w14:textId="77777777" w:rsidR="00316FD7" w:rsidRDefault="008E45EB" w:rsidP="00DF71F8">
      <w:pPr>
        <w:jc w:val="both"/>
        <w:rPr>
          <w:rFonts w:ascii="Trebuchet MS" w:hAnsi="Trebuchet MS"/>
        </w:rPr>
      </w:pPr>
      <w:r w:rsidRPr="007817B3">
        <w:rPr>
          <w:rFonts w:ascii="Trebuchet MS" w:hAnsi="Trebuchet MS"/>
        </w:rPr>
        <w:t xml:space="preserve">• Poorly drained sites </w:t>
      </w:r>
    </w:p>
    <w:p w14:paraId="0234890D" w14:textId="4D00DB27" w:rsidR="00811903" w:rsidRPr="007817B3" w:rsidRDefault="008E45EB" w:rsidP="00DF71F8">
      <w:pPr>
        <w:jc w:val="both"/>
        <w:rPr>
          <w:rFonts w:ascii="Trebuchet MS" w:hAnsi="Trebuchet MS"/>
        </w:rPr>
      </w:pPr>
      <w:r w:rsidRPr="007817B3">
        <w:rPr>
          <w:rFonts w:ascii="Trebuchet MS" w:hAnsi="Trebuchet MS"/>
        </w:rPr>
        <w:t xml:space="preserve">• Areas of heavy shade – e.g. trees, tall hedges </w:t>
      </w:r>
    </w:p>
    <w:p w14:paraId="0BC0DF95" w14:textId="77777777" w:rsidR="00C53F66" w:rsidRDefault="00C53F66" w:rsidP="00DF71F8">
      <w:pPr>
        <w:jc w:val="both"/>
        <w:rPr>
          <w:rFonts w:ascii="Trebuchet MS" w:hAnsi="Trebuchet MS"/>
        </w:rPr>
      </w:pPr>
    </w:p>
    <w:p w14:paraId="54C0541C" w14:textId="0A9B8819" w:rsidR="00811903" w:rsidRPr="007817B3" w:rsidRDefault="008E45EB" w:rsidP="00DF71F8">
      <w:pPr>
        <w:jc w:val="both"/>
        <w:rPr>
          <w:rFonts w:ascii="Trebuchet MS" w:hAnsi="Trebuchet MS"/>
        </w:rPr>
      </w:pPr>
      <w:r w:rsidRPr="007817B3">
        <w:rPr>
          <w:rFonts w:ascii="Trebuchet MS" w:hAnsi="Trebuchet MS"/>
        </w:rPr>
        <w:t xml:space="preserve">It is good practice to carry out the Snowball Test before commencing work each day, which will give a good indication that the prevailing conditions and current materials are compatible for a cohesive repair mixture. </w:t>
      </w:r>
    </w:p>
    <w:p w14:paraId="2E8DC36F" w14:textId="77777777" w:rsidR="00811903" w:rsidRPr="007817B3" w:rsidRDefault="00811903" w:rsidP="00DF71F8">
      <w:pPr>
        <w:jc w:val="both"/>
        <w:rPr>
          <w:rFonts w:ascii="Trebuchet MS" w:hAnsi="Trebuchet MS"/>
        </w:rPr>
      </w:pPr>
    </w:p>
    <w:p w14:paraId="06205ED5" w14:textId="77777777" w:rsidR="00811903" w:rsidRPr="00383F89" w:rsidRDefault="008E45EB" w:rsidP="00DF71F8">
      <w:pPr>
        <w:jc w:val="both"/>
        <w:rPr>
          <w:rFonts w:ascii="Trebuchet MS" w:hAnsi="Trebuchet MS"/>
          <w:b/>
          <w:bCs/>
          <w:i/>
          <w:iCs/>
        </w:rPr>
      </w:pPr>
      <w:r w:rsidRPr="00383F89">
        <w:rPr>
          <w:rFonts w:ascii="Trebuchet MS" w:hAnsi="Trebuchet MS"/>
          <w:b/>
          <w:bCs/>
          <w:i/>
          <w:iCs/>
        </w:rPr>
        <w:t xml:space="preserve">References </w:t>
      </w:r>
    </w:p>
    <w:p w14:paraId="728F813E" w14:textId="62DF13FB" w:rsidR="00811903" w:rsidRPr="007817B3" w:rsidRDefault="008E45EB" w:rsidP="00DF71F8">
      <w:pPr>
        <w:jc w:val="both"/>
        <w:rPr>
          <w:rFonts w:ascii="Trebuchet MS" w:hAnsi="Trebuchet MS"/>
        </w:rPr>
      </w:pPr>
      <w:r w:rsidRPr="007817B3">
        <w:rPr>
          <w:rFonts w:ascii="Trebuchet MS" w:hAnsi="Trebuchet MS"/>
        </w:rPr>
        <w:t xml:space="preserve">[1] Road Note 39: Design Guide for Road Surface Dressing – published by Transport Research Laboratory </w:t>
      </w:r>
    </w:p>
    <w:p w14:paraId="2CFB99CB" w14:textId="738EF610" w:rsidR="00F32CCD" w:rsidRDefault="00F32CCD" w:rsidP="00DF71F8">
      <w:pPr>
        <w:jc w:val="both"/>
        <w:rPr>
          <w:rFonts w:ascii="Trebuchet MS" w:hAnsi="Trebuchet MS"/>
        </w:rPr>
      </w:pPr>
      <w:r w:rsidRPr="007817B3">
        <w:rPr>
          <w:rFonts w:ascii="Trebuchet MS" w:hAnsi="Trebuchet MS"/>
        </w:rPr>
        <w:t xml:space="preserve">[2] </w:t>
      </w:r>
      <w:r w:rsidR="00FF5968" w:rsidRPr="007817B3">
        <w:rPr>
          <w:rFonts w:ascii="Trebuchet MS" w:hAnsi="Trebuchet MS"/>
        </w:rPr>
        <w:t>BS</w:t>
      </w:r>
      <w:r w:rsidR="003F48EF">
        <w:rPr>
          <w:rFonts w:ascii="Trebuchet MS" w:hAnsi="Trebuchet MS"/>
        </w:rPr>
        <w:t xml:space="preserve"> </w:t>
      </w:r>
      <w:r w:rsidR="00FF5968" w:rsidRPr="007817B3">
        <w:rPr>
          <w:rFonts w:ascii="Trebuchet MS" w:hAnsi="Trebuchet MS"/>
        </w:rPr>
        <w:t>10947</w:t>
      </w:r>
      <w:r w:rsidR="00642698">
        <w:rPr>
          <w:rFonts w:ascii="Trebuchet MS" w:hAnsi="Trebuchet MS"/>
        </w:rPr>
        <w:t>:2019</w:t>
      </w:r>
      <w:r w:rsidR="00FF5968" w:rsidRPr="007817B3">
        <w:rPr>
          <w:rFonts w:ascii="Trebuchet MS" w:hAnsi="Trebuchet MS"/>
        </w:rPr>
        <w:t xml:space="preserve"> Spray injection patching for highways and other paved areas. Specification </w:t>
      </w:r>
    </w:p>
    <w:p w14:paraId="460D764D" w14:textId="5D1240A7" w:rsidR="00C37687" w:rsidRDefault="00B03BED" w:rsidP="00DF71F8">
      <w:pPr>
        <w:jc w:val="both"/>
        <w:rPr>
          <w:rFonts w:ascii="Trebuchet MS" w:hAnsi="Trebuchet MS"/>
        </w:rPr>
      </w:pPr>
      <w:r>
        <w:rPr>
          <w:rFonts w:ascii="Trebuchet MS" w:hAnsi="Trebuchet MS"/>
        </w:rPr>
        <w:t>[3]</w:t>
      </w:r>
      <w:r w:rsidR="00AD6137">
        <w:t xml:space="preserve"> </w:t>
      </w:r>
      <w:r w:rsidR="00AD6137" w:rsidRPr="00AD6137">
        <w:rPr>
          <w:rFonts w:ascii="Trebuchet MS" w:hAnsi="Trebuchet MS"/>
        </w:rPr>
        <w:t xml:space="preserve">BS 434-2:2006 </w:t>
      </w:r>
      <w:proofErr w:type="gramStart"/>
      <w:r w:rsidR="00AD6137" w:rsidRPr="00AD6137">
        <w:rPr>
          <w:rFonts w:ascii="Trebuchet MS" w:hAnsi="Trebuchet MS"/>
        </w:rPr>
        <w:t>Bitumen road</w:t>
      </w:r>
      <w:proofErr w:type="gramEnd"/>
      <w:r w:rsidR="00AD6137" w:rsidRPr="00AD6137">
        <w:rPr>
          <w:rFonts w:ascii="Trebuchet MS" w:hAnsi="Trebuchet MS"/>
        </w:rPr>
        <w:t xml:space="preserve"> emulsions. Code of practice for the use of cationic bitumen emulsions on roads and other paved areas</w:t>
      </w:r>
      <w:r w:rsidR="00AD6137">
        <w:rPr>
          <w:rFonts w:ascii="Trebuchet MS" w:hAnsi="Trebuchet MS"/>
        </w:rPr>
        <w:t xml:space="preserve"> (withdrawn)</w:t>
      </w:r>
    </w:p>
    <w:p w14:paraId="63946E6C" w14:textId="262A8926" w:rsidR="00811903" w:rsidRDefault="00B03BED" w:rsidP="0042029D">
      <w:pPr>
        <w:jc w:val="both"/>
        <w:rPr>
          <w:rFonts w:ascii="Trebuchet MS" w:hAnsi="Trebuchet MS"/>
        </w:rPr>
      </w:pPr>
      <w:r>
        <w:rPr>
          <w:rFonts w:ascii="Trebuchet MS" w:hAnsi="Trebuchet MS"/>
        </w:rPr>
        <w:t xml:space="preserve">[4] </w:t>
      </w:r>
      <w:r w:rsidR="0042029D">
        <w:rPr>
          <w:rFonts w:ascii="Trebuchet MS" w:hAnsi="Trebuchet MS"/>
        </w:rPr>
        <w:t>BS EN</w:t>
      </w:r>
      <w:r w:rsidR="00D321D0">
        <w:rPr>
          <w:rFonts w:ascii="Trebuchet MS" w:hAnsi="Trebuchet MS"/>
        </w:rPr>
        <w:t xml:space="preserve"> </w:t>
      </w:r>
      <w:r w:rsidR="0042029D">
        <w:rPr>
          <w:rFonts w:ascii="Trebuchet MS" w:hAnsi="Trebuchet MS"/>
        </w:rPr>
        <w:t xml:space="preserve">13614:2021: </w:t>
      </w:r>
      <w:r w:rsidR="0042029D" w:rsidRPr="0042029D">
        <w:rPr>
          <w:rFonts w:ascii="Trebuchet MS" w:hAnsi="Trebuchet MS"/>
        </w:rPr>
        <w:t>Bitumen and bituminous binders. Determination of adhesivity of bituminous emulsions by water immersion test</w:t>
      </w:r>
    </w:p>
    <w:p w14:paraId="77DC768C" w14:textId="77777777" w:rsidR="0042029D" w:rsidRPr="007817B3" w:rsidRDefault="0042029D" w:rsidP="0042029D">
      <w:pPr>
        <w:jc w:val="both"/>
        <w:rPr>
          <w:rFonts w:ascii="Trebuchet MS" w:hAnsi="Trebuchet MS"/>
        </w:rPr>
      </w:pPr>
    </w:p>
    <w:p w14:paraId="5089A90F" w14:textId="2B0DC3D5" w:rsidR="009E5F15" w:rsidRDefault="008E45EB" w:rsidP="00DF71F8">
      <w:pPr>
        <w:jc w:val="both"/>
        <w:rPr>
          <w:rFonts w:ascii="Trebuchet MS" w:hAnsi="Trebuchet MS"/>
          <w:b/>
          <w:bCs/>
        </w:rPr>
      </w:pPr>
      <w:r w:rsidRPr="009E5F15">
        <w:rPr>
          <w:rFonts w:ascii="Trebuchet MS" w:hAnsi="Trebuchet MS"/>
          <w:b/>
          <w:bCs/>
        </w:rPr>
        <w:t xml:space="preserve">For further information on all REA Technical Data sheets please look on the “Technical Datasheets” webpage on </w:t>
      </w:r>
      <w:hyperlink r:id="rId12" w:history="1">
        <w:r w:rsidR="009E5F15" w:rsidRPr="00C330DF">
          <w:rPr>
            <w:rStyle w:val="Hyperlink"/>
            <w:rFonts w:ascii="Trebuchet MS" w:hAnsi="Trebuchet MS"/>
            <w:b/>
            <w:bCs/>
          </w:rPr>
          <w:t>www.rea.org.uk</w:t>
        </w:r>
      </w:hyperlink>
      <w:r w:rsidRPr="009E5F15">
        <w:rPr>
          <w:rFonts w:ascii="Trebuchet MS" w:hAnsi="Trebuchet MS"/>
          <w:b/>
          <w:bCs/>
        </w:rPr>
        <w:t xml:space="preserve"> </w:t>
      </w:r>
    </w:p>
    <w:p w14:paraId="75258546" w14:textId="031ED2CD" w:rsidR="008E45EB" w:rsidRPr="009E5F15" w:rsidRDefault="008E45EB" w:rsidP="00DF71F8">
      <w:pPr>
        <w:jc w:val="both"/>
        <w:rPr>
          <w:rFonts w:ascii="Trebuchet MS" w:hAnsi="Trebuchet MS"/>
          <w:i/>
          <w:iCs/>
        </w:rPr>
      </w:pPr>
      <w:r w:rsidRPr="009E5F15">
        <w:rPr>
          <w:rFonts w:ascii="Trebuchet MS" w:hAnsi="Trebuchet MS"/>
          <w:i/>
          <w:iCs/>
        </w:rPr>
        <w:t>Whilst every care is taken to ensure the accuracy of the general advice offered herein by the Road Emulsion Association, no liability or responsibility of any kind can be accepted by the Association.</w:t>
      </w:r>
    </w:p>
    <w:sectPr w:rsidR="008E45EB" w:rsidRPr="009E5F15">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D51C" w14:textId="77777777" w:rsidR="00900E40" w:rsidRDefault="00900E40" w:rsidP="00D40DEA">
      <w:pPr>
        <w:spacing w:after="0" w:line="240" w:lineRule="auto"/>
      </w:pPr>
      <w:r>
        <w:separator/>
      </w:r>
    </w:p>
  </w:endnote>
  <w:endnote w:type="continuationSeparator" w:id="0">
    <w:p w14:paraId="2EE67C79" w14:textId="77777777" w:rsidR="00900E40" w:rsidRDefault="00900E40" w:rsidP="00D4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1AB0" w14:textId="570D822B" w:rsidR="00D40DEA" w:rsidRDefault="00D40DEA">
    <w:pPr>
      <w:pStyle w:val="Footer"/>
    </w:pPr>
    <w:r>
      <w:rPr>
        <w:noProof/>
      </w:rPr>
      <mc:AlternateContent>
        <mc:Choice Requires="wps">
          <w:drawing>
            <wp:anchor distT="0" distB="0" distL="0" distR="0" simplePos="0" relativeHeight="251658240" behindDoc="0" locked="0" layoutInCell="1" allowOverlap="1" wp14:anchorId="3C478C94" wp14:editId="1DC611D2">
              <wp:simplePos x="635" y="635"/>
              <wp:positionH relativeFrom="page">
                <wp:align>center</wp:align>
              </wp:positionH>
              <wp:positionV relativeFrom="page">
                <wp:align>bottom</wp:align>
              </wp:positionV>
              <wp:extent cx="4411980" cy="347980"/>
              <wp:effectExtent l="0" t="0" r="7620" b="0"/>
              <wp:wrapNone/>
              <wp:docPr id="1956973993"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256ACA2B" w14:textId="0CDAAA17" w:rsidR="00D40DEA" w:rsidRPr="00D40DEA" w:rsidRDefault="00D40DEA" w:rsidP="00D40DEA">
                          <w:pPr>
                            <w:spacing w:after="0"/>
                            <w:rPr>
                              <w:rFonts w:ascii="Arial" w:eastAsia="Arial" w:hAnsi="Arial" w:cs="Arial"/>
                              <w:noProof/>
                              <w:color w:val="29CF00"/>
                              <w:sz w:val="20"/>
                              <w:szCs w:val="20"/>
                            </w:rPr>
                          </w:pPr>
                          <w:r w:rsidRPr="00D40DEA">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478C94"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7.4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" filled="f" stroked="f">
              <v:fill o:detectmouseclick="t"/>
              <v:textbox style="mso-fit-shape-to-text:t" inset="0,0,0,15pt">
                <w:txbxContent>
                  <w:p w14:paraId="256ACA2B" w14:textId="0CDAAA17" w:rsidR="00D40DEA" w:rsidRPr="00D40DEA" w:rsidRDefault="00D40DEA" w:rsidP="00D40DEA">
                    <w:pPr>
                      <w:spacing w:after="0"/>
                      <w:rPr>
                        <w:rFonts w:ascii="Arial" w:eastAsia="Arial" w:hAnsi="Arial" w:cs="Arial"/>
                        <w:noProof/>
                        <w:color w:val="29CF00"/>
                        <w:sz w:val="20"/>
                        <w:szCs w:val="20"/>
                      </w:rPr>
                    </w:pPr>
                    <w:r w:rsidRPr="00D40DEA">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CB22" w14:textId="559F06BB" w:rsidR="00D40DEA" w:rsidRDefault="00D40DEA">
    <w:pPr>
      <w:pStyle w:val="Footer"/>
    </w:pPr>
    <w:r>
      <w:rPr>
        <w:noProof/>
      </w:rPr>
      <mc:AlternateContent>
        <mc:Choice Requires="wps">
          <w:drawing>
            <wp:anchor distT="0" distB="0" distL="0" distR="0" simplePos="0" relativeHeight="251658241" behindDoc="0" locked="0" layoutInCell="1" allowOverlap="1" wp14:anchorId="50D225E6" wp14:editId="4890AACE">
              <wp:simplePos x="635" y="635"/>
              <wp:positionH relativeFrom="page">
                <wp:align>center</wp:align>
              </wp:positionH>
              <wp:positionV relativeFrom="page">
                <wp:align>bottom</wp:align>
              </wp:positionV>
              <wp:extent cx="4411980" cy="347980"/>
              <wp:effectExtent l="0" t="0" r="7620" b="0"/>
              <wp:wrapNone/>
              <wp:docPr id="1260807591" name="Text Box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4D3911C2" w14:textId="216B1C2A" w:rsidR="00D40DEA" w:rsidRPr="00D40DEA" w:rsidRDefault="00D40DEA" w:rsidP="00D40DEA">
                          <w:pPr>
                            <w:spacing w:after="0"/>
                            <w:rPr>
                              <w:rFonts w:ascii="Arial" w:eastAsia="Arial" w:hAnsi="Arial" w:cs="Arial"/>
                              <w:noProof/>
                              <w:color w:val="29CF00"/>
                              <w:sz w:val="20"/>
                              <w:szCs w:val="20"/>
                            </w:rPr>
                          </w:pPr>
                          <w:r w:rsidRPr="00D40DEA">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225E6" id="_x0000_t202" coordsize="21600,21600" o:spt="202" path="m,l,21600r21600,l21600,xe">
              <v:stroke joinstyle="miter"/>
              <v:path gradientshapeok="t" o:connecttype="rect"/>
            </v:shapetype>
            <v:shape id="Text Box 3" o:spid="_x0000_s1027" type="#_x0000_t202" alt="C2 - COLAS GROUP INTERNAL: Employees and partners who need to know." style="position:absolute;margin-left:0;margin-top:0;width:347.4pt;height:27.4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" filled="f" stroked="f">
              <v:fill o:detectmouseclick="t"/>
              <v:textbox style="mso-fit-shape-to-text:t" inset="0,0,0,15pt">
                <w:txbxContent>
                  <w:p w14:paraId="4D3911C2" w14:textId="216B1C2A" w:rsidR="00D40DEA" w:rsidRPr="00D40DEA" w:rsidRDefault="00D40DEA" w:rsidP="00D40DEA">
                    <w:pPr>
                      <w:spacing w:after="0"/>
                      <w:rPr>
                        <w:rFonts w:ascii="Arial" w:eastAsia="Arial" w:hAnsi="Arial" w:cs="Arial"/>
                        <w:noProof/>
                        <w:color w:val="29CF00"/>
                        <w:sz w:val="20"/>
                        <w:szCs w:val="20"/>
                      </w:rPr>
                    </w:pPr>
                    <w:r w:rsidRPr="00D40DEA">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162E" w14:textId="00592D44" w:rsidR="00D40DEA" w:rsidRDefault="00D40DEA">
    <w:pPr>
      <w:pStyle w:val="Footer"/>
    </w:pPr>
    <w:r>
      <w:rPr>
        <w:noProof/>
      </w:rPr>
      <mc:AlternateContent>
        <mc:Choice Requires="wps">
          <w:drawing>
            <wp:anchor distT="0" distB="0" distL="0" distR="0" simplePos="0" relativeHeight="251658242" behindDoc="0" locked="0" layoutInCell="1" allowOverlap="1" wp14:anchorId="782A4A83" wp14:editId="7AB948FA">
              <wp:simplePos x="635" y="635"/>
              <wp:positionH relativeFrom="page">
                <wp:align>center</wp:align>
              </wp:positionH>
              <wp:positionV relativeFrom="page">
                <wp:align>bottom</wp:align>
              </wp:positionV>
              <wp:extent cx="4411980" cy="347980"/>
              <wp:effectExtent l="0" t="0" r="7620" b="0"/>
              <wp:wrapNone/>
              <wp:docPr id="1088840250"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10EE08C3" w14:textId="16D2EDF2" w:rsidR="00D40DEA" w:rsidRPr="00D40DEA" w:rsidRDefault="00D40DEA" w:rsidP="00D40DEA">
                          <w:pPr>
                            <w:spacing w:after="0"/>
                            <w:rPr>
                              <w:rFonts w:ascii="Arial" w:eastAsia="Arial" w:hAnsi="Arial" w:cs="Arial"/>
                              <w:noProof/>
                              <w:color w:val="29CF00"/>
                              <w:sz w:val="20"/>
                              <w:szCs w:val="20"/>
                            </w:rPr>
                          </w:pPr>
                          <w:r w:rsidRPr="00D40DEA">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A4A83" id="_x0000_t202" coordsize="21600,21600" o:spt="202" path="m,l,21600r21600,l21600,xe">
              <v:stroke joinstyle="miter"/>
              <v:path gradientshapeok="t" o:connecttype="rect"/>
            </v:shapetype>
            <v:shape id="Text Box 1" o:spid="_x0000_s1028" type="#_x0000_t202" alt="C2 - COLAS GROUP INTERNAL: Employees and partners who need to know." style="position:absolute;margin-left:0;margin-top:0;width:347.4pt;height:27.4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" filled="f" stroked="f">
              <v:fill o:detectmouseclick="t"/>
              <v:textbox style="mso-fit-shape-to-text:t" inset="0,0,0,15pt">
                <w:txbxContent>
                  <w:p w14:paraId="10EE08C3" w14:textId="16D2EDF2" w:rsidR="00D40DEA" w:rsidRPr="00D40DEA" w:rsidRDefault="00D40DEA" w:rsidP="00D40DEA">
                    <w:pPr>
                      <w:spacing w:after="0"/>
                      <w:rPr>
                        <w:rFonts w:ascii="Arial" w:eastAsia="Arial" w:hAnsi="Arial" w:cs="Arial"/>
                        <w:noProof/>
                        <w:color w:val="29CF00"/>
                        <w:sz w:val="20"/>
                        <w:szCs w:val="20"/>
                      </w:rPr>
                    </w:pPr>
                    <w:r w:rsidRPr="00D40DEA">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51D8" w14:textId="77777777" w:rsidR="00900E40" w:rsidRDefault="00900E40" w:rsidP="00D40DEA">
      <w:pPr>
        <w:spacing w:after="0" w:line="240" w:lineRule="auto"/>
      </w:pPr>
      <w:r>
        <w:separator/>
      </w:r>
    </w:p>
  </w:footnote>
  <w:footnote w:type="continuationSeparator" w:id="0">
    <w:p w14:paraId="04AAAC1C" w14:textId="77777777" w:rsidR="00900E40" w:rsidRDefault="00900E40" w:rsidP="00D40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1545B"/>
    <w:multiLevelType w:val="hybridMultilevel"/>
    <w:tmpl w:val="A8A4220A"/>
    <w:lvl w:ilvl="0" w:tplc="C88059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E232A8"/>
    <w:multiLevelType w:val="hybridMultilevel"/>
    <w:tmpl w:val="04381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5237C9"/>
    <w:multiLevelType w:val="hybridMultilevel"/>
    <w:tmpl w:val="D250E074"/>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4EA432BC"/>
    <w:multiLevelType w:val="hybridMultilevel"/>
    <w:tmpl w:val="3F4CB4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71913848">
    <w:abstractNumId w:val="0"/>
  </w:num>
  <w:num w:numId="2" w16cid:durableId="2043165965">
    <w:abstractNumId w:val="3"/>
  </w:num>
  <w:num w:numId="3" w16cid:durableId="1977489527">
    <w:abstractNumId w:val="2"/>
  </w:num>
  <w:num w:numId="4" w16cid:durableId="124985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EB"/>
    <w:rsid w:val="000677F8"/>
    <w:rsid w:val="000F0F85"/>
    <w:rsid w:val="001013DF"/>
    <w:rsid w:val="001D2B79"/>
    <w:rsid w:val="0020536B"/>
    <w:rsid w:val="00241A1C"/>
    <w:rsid w:val="002459D3"/>
    <w:rsid w:val="00262AD6"/>
    <w:rsid w:val="00281866"/>
    <w:rsid w:val="002B1645"/>
    <w:rsid w:val="002C0D7D"/>
    <w:rsid w:val="00310F54"/>
    <w:rsid w:val="00316FD7"/>
    <w:rsid w:val="00340C6A"/>
    <w:rsid w:val="00383F89"/>
    <w:rsid w:val="003A35AE"/>
    <w:rsid w:val="003F48EF"/>
    <w:rsid w:val="0042029D"/>
    <w:rsid w:val="004929B2"/>
    <w:rsid w:val="004B5F70"/>
    <w:rsid w:val="004F0071"/>
    <w:rsid w:val="00531D1B"/>
    <w:rsid w:val="00554892"/>
    <w:rsid w:val="00585A83"/>
    <w:rsid w:val="005909CA"/>
    <w:rsid w:val="00642698"/>
    <w:rsid w:val="006611FB"/>
    <w:rsid w:val="00683FC5"/>
    <w:rsid w:val="006E066B"/>
    <w:rsid w:val="00713B32"/>
    <w:rsid w:val="007276F1"/>
    <w:rsid w:val="007817B3"/>
    <w:rsid w:val="0078762A"/>
    <w:rsid w:val="007B3057"/>
    <w:rsid w:val="00811903"/>
    <w:rsid w:val="008146B3"/>
    <w:rsid w:val="00830510"/>
    <w:rsid w:val="008A4CB4"/>
    <w:rsid w:val="008D404F"/>
    <w:rsid w:val="008E45EB"/>
    <w:rsid w:val="00900E40"/>
    <w:rsid w:val="009C4A4C"/>
    <w:rsid w:val="009E5F15"/>
    <w:rsid w:val="00AA45E6"/>
    <w:rsid w:val="00AB7E88"/>
    <w:rsid w:val="00AD6137"/>
    <w:rsid w:val="00B03BED"/>
    <w:rsid w:val="00BF20B9"/>
    <w:rsid w:val="00C0132A"/>
    <w:rsid w:val="00C30AAB"/>
    <w:rsid w:val="00C35329"/>
    <w:rsid w:val="00C37687"/>
    <w:rsid w:val="00C53F66"/>
    <w:rsid w:val="00C81781"/>
    <w:rsid w:val="00CB2D8E"/>
    <w:rsid w:val="00CF4E99"/>
    <w:rsid w:val="00D17EFE"/>
    <w:rsid w:val="00D321D0"/>
    <w:rsid w:val="00D36353"/>
    <w:rsid w:val="00D37C37"/>
    <w:rsid w:val="00D40DEA"/>
    <w:rsid w:val="00D94317"/>
    <w:rsid w:val="00DB102E"/>
    <w:rsid w:val="00DE4F65"/>
    <w:rsid w:val="00DE6E1F"/>
    <w:rsid w:val="00DF1231"/>
    <w:rsid w:val="00DF713F"/>
    <w:rsid w:val="00DF71F8"/>
    <w:rsid w:val="00E21601"/>
    <w:rsid w:val="00E3058F"/>
    <w:rsid w:val="00E33546"/>
    <w:rsid w:val="00E372DE"/>
    <w:rsid w:val="00E60801"/>
    <w:rsid w:val="00E907DE"/>
    <w:rsid w:val="00EA17B1"/>
    <w:rsid w:val="00EA363B"/>
    <w:rsid w:val="00ED27CC"/>
    <w:rsid w:val="00F32CCD"/>
    <w:rsid w:val="00F473F0"/>
    <w:rsid w:val="00F476B9"/>
    <w:rsid w:val="00F751C7"/>
    <w:rsid w:val="00FC5567"/>
    <w:rsid w:val="00FE6E17"/>
    <w:rsid w:val="00FF5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1F39"/>
  <w15:docId w15:val="{332F7CB1-E9B4-41FB-AC8F-CAB0E562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5EB"/>
    <w:pPr>
      <w:ind w:left="720"/>
      <w:contextualSpacing/>
    </w:pPr>
  </w:style>
  <w:style w:type="table" w:styleId="TableGrid">
    <w:name w:val="Table Grid"/>
    <w:basedOn w:val="TableNormal"/>
    <w:uiPriority w:val="39"/>
    <w:rsid w:val="00590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B1645"/>
    <w:pPr>
      <w:widowControl w:val="0"/>
      <w:autoSpaceDE w:val="0"/>
      <w:autoSpaceDN w:val="0"/>
      <w:spacing w:after="0" w:line="240" w:lineRule="auto"/>
      <w:ind w:left="107"/>
    </w:pPr>
    <w:rPr>
      <w:rFonts w:ascii="Trebuchet MS" w:eastAsia="Trebuchet MS" w:hAnsi="Trebuchet MS" w:cs="Trebuchet MS"/>
      <w:lang w:val="en-US"/>
    </w:rPr>
  </w:style>
  <w:style w:type="paragraph" w:styleId="NoSpacing">
    <w:name w:val="No Spacing"/>
    <w:uiPriority w:val="1"/>
    <w:qFormat/>
    <w:rsid w:val="002B1645"/>
    <w:pPr>
      <w:spacing w:after="0" w:line="240" w:lineRule="auto"/>
    </w:pPr>
  </w:style>
  <w:style w:type="character" w:styleId="Hyperlink">
    <w:name w:val="Hyperlink"/>
    <w:basedOn w:val="DefaultParagraphFont"/>
    <w:uiPriority w:val="99"/>
    <w:unhideWhenUsed/>
    <w:rsid w:val="009E5F15"/>
    <w:rPr>
      <w:color w:val="0563C1" w:themeColor="hyperlink"/>
      <w:u w:val="single"/>
    </w:rPr>
  </w:style>
  <w:style w:type="character" w:styleId="UnresolvedMention">
    <w:name w:val="Unresolved Mention"/>
    <w:basedOn w:val="DefaultParagraphFont"/>
    <w:uiPriority w:val="99"/>
    <w:semiHidden/>
    <w:unhideWhenUsed/>
    <w:rsid w:val="009E5F15"/>
    <w:rPr>
      <w:color w:val="605E5C"/>
      <w:shd w:val="clear" w:color="auto" w:fill="E1DFDD"/>
    </w:rPr>
  </w:style>
  <w:style w:type="paragraph" w:styleId="Footer">
    <w:name w:val="footer"/>
    <w:basedOn w:val="Normal"/>
    <w:link w:val="FooterChar"/>
    <w:uiPriority w:val="99"/>
    <w:unhideWhenUsed/>
    <w:rsid w:val="00D40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DEA"/>
  </w:style>
  <w:style w:type="paragraph" w:styleId="Header">
    <w:name w:val="header"/>
    <w:basedOn w:val="Normal"/>
    <w:link w:val="HeaderChar"/>
    <w:uiPriority w:val="99"/>
    <w:semiHidden/>
    <w:unhideWhenUsed/>
    <w:rsid w:val="00C30A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B0866-48CC-40B8-910F-7FA70AB8025A}">
  <ds:schemaRefs>
    <ds:schemaRef ds:uri="http://schemas.microsoft.com/office/2006/metadata/properties"/>
    <ds:schemaRef ds:uri="http://schemas.microsoft.com/office/infopath/2007/PartnerControls"/>
    <ds:schemaRef ds:uri="3bfd5da4-30ba-4d88-98e1-963edc390054"/>
  </ds:schemaRefs>
</ds:datastoreItem>
</file>

<file path=customXml/itemProps2.xml><?xml version="1.0" encoding="utf-8"?>
<ds:datastoreItem xmlns:ds="http://schemas.openxmlformats.org/officeDocument/2006/customXml" ds:itemID="{3AD64AD7-BE4F-4644-B41A-A14E16EE2ECC}">
  <ds:schemaRefs>
    <ds:schemaRef ds:uri="http://schemas.microsoft.com/sharepoint/v3/contenttype/forms"/>
  </ds:schemaRefs>
</ds:datastoreItem>
</file>

<file path=customXml/itemProps3.xml><?xml version="1.0" encoding="utf-8"?>
<ds:datastoreItem xmlns:ds="http://schemas.openxmlformats.org/officeDocument/2006/customXml" ds:itemID="{1754060C-0165-480A-A891-312B088EE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F59C8-4EFC-42C0-BE35-AF4671003F3E}">
  <ds:schemaRefs>
    <ds:schemaRef ds:uri="http://schemas.openxmlformats.org/officeDocument/2006/bibliography"/>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183</TotalTime>
  <Pages>6</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CADEL, Paul (Colas Ltd)</dc:creator>
  <cp:keywords/>
  <dc:description/>
  <cp:lastModifiedBy>CADEL, Paul (Colas Ltd)</cp:lastModifiedBy>
  <cp:revision>63</cp:revision>
  <dcterms:created xsi:type="dcterms:W3CDTF">2023-05-08T15:05:00Z</dcterms:created>
  <dcterms:modified xsi:type="dcterms:W3CDTF">2025-08-05T15:50:00Z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2023-05-08T14:46:13Z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31389813-f9a4-47ba-9f8e-af440339acfe</vt:lpwstr>
  </property>
  <property fmtid="{D5CDD505-2E9C-101B-9397-08002B2CF9AE}" pid="8" name="MSIP_Label_06b95ba9-d50e-4074-b623-0a9711dc916f_ContentBits">
    <vt:lpwstr>0</vt:lpwstr>
  </property>
  <property fmtid="{D5CDD505-2E9C-101B-9397-08002B2CF9AE}" pid="9" name="ContentTypeId">
    <vt:lpwstr>0x01010016B7E44D7653474F8062AD9B52C46E58</vt:lpwstr>
  </property>
  <property fmtid="{D5CDD505-2E9C-101B-9397-08002B2CF9AE}" pid="10" name="ClassificationContentMarkingFooterShapeIds">
    <vt:lpwstr>40e6623a,74a50da9,4b2665a7</vt:lpwstr>
  </property>
  <property fmtid="{D5CDD505-2E9C-101B-9397-08002B2CF9AE}" pid="11" name="ClassificationContentMarkingFooterFontProps">
    <vt:lpwstr>#29cf00,10,Arial</vt:lpwstr>
  </property>
  <property fmtid="{D5CDD505-2E9C-101B-9397-08002B2CF9AE}" pid="12" name="ClassificationContentMarkingFooterText">
    <vt:lpwstr>C2 - COLAS GROUP INTERNAL: Employees and partners who need to know.</vt:lpwstr>
  </property>
</Properties>
</file>