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6380"/>
      </w:tblGrid>
      <w:tr w:rsidR="00CB4FC5" w14:paraId="21521569" w14:textId="77777777" w:rsidTr="00CB4FC5">
        <w:trPr>
          <w:trHeight w:val="1127"/>
        </w:trPr>
        <w:tc>
          <w:tcPr>
            <w:tcW w:w="2866" w:type="dxa"/>
          </w:tcPr>
          <w:p w14:paraId="67906DF2" w14:textId="77777777" w:rsidR="00CB4FC5" w:rsidRDefault="00CB4FC5" w:rsidP="00DD72F1">
            <w:pPr>
              <w:pStyle w:val="TableParagraph"/>
              <w:spacing w:before="1"/>
              <w:ind w:left="0"/>
              <w:rPr>
                <w:rFonts w:ascii="Times New Roman"/>
                <w:sz w:val="7"/>
              </w:rPr>
            </w:pPr>
          </w:p>
          <w:p w14:paraId="2AD6C298" w14:textId="77777777" w:rsidR="00CB4FC5" w:rsidRDefault="00CB4FC5" w:rsidP="00DD72F1">
            <w:pPr>
              <w:pStyle w:val="TableParagraph"/>
              <w:ind w:left="158"/>
              <w:rPr>
                <w:rFonts w:ascii="Times New Roman"/>
                <w:sz w:val="20"/>
              </w:rPr>
            </w:pPr>
            <w:r>
              <w:rPr>
                <w:rFonts w:ascii="Times New Roman"/>
                <w:noProof/>
                <w:sz w:val="20"/>
              </w:rPr>
              <w:drawing>
                <wp:inline distT="0" distB="0" distL="0" distR="0" wp14:anchorId="650C1590" wp14:editId="1BA42CE7">
                  <wp:extent cx="1614030" cy="595883"/>
                  <wp:effectExtent l="0" t="0" r="0" b="0"/>
                  <wp:docPr id="1" name="image1.png" descr="A picture containing font, text, graphics,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font, text, graphics, green&#10;&#10;Description automatically generated"/>
                          <pic:cNvPicPr/>
                        </pic:nvPicPr>
                        <pic:blipFill>
                          <a:blip r:embed="rId10" cstate="print"/>
                          <a:stretch>
                            <a:fillRect/>
                          </a:stretch>
                        </pic:blipFill>
                        <pic:spPr>
                          <a:xfrm>
                            <a:off x="0" y="0"/>
                            <a:ext cx="1614030" cy="595883"/>
                          </a:xfrm>
                          <a:prstGeom prst="rect">
                            <a:avLst/>
                          </a:prstGeom>
                        </pic:spPr>
                      </pic:pic>
                    </a:graphicData>
                  </a:graphic>
                </wp:inline>
              </w:drawing>
            </w:r>
          </w:p>
        </w:tc>
        <w:tc>
          <w:tcPr>
            <w:tcW w:w="6380" w:type="dxa"/>
          </w:tcPr>
          <w:p w14:paraId="0BF4075B" w14:textId="5F082377" w:rsidR="00CB4FC5" w:rsidRDefault="00CB4FC5" w:rsidP="00DD72F1">
            <w:pPr>
              <w:pStyle w:val="TableParagraph"/>
              <w:spacing w:before="11" w:line="256" w:lineRule="auto"/>
              <w:ind w:right="1483"/>
              <w:rPr>
                <w:b/>
                <w:sz w:val="32"/>
              </w:rPr>
            </w:pPr>
            <w:r>
              <w:rPr>
                <w:b/>
                <w:sz w:val="32"/>
              </w:rPr>
              <w:t>Technical</w:t>
            </w:r>
            <w:r w:rsidRPr="00D70130">
              <w:rPr>
                <w:b/>
                <w:sz w:val="32"/>
              </w:rPr>
              <w:t xml:space="preserve"> </w:t>
            </w:r>
            <w:r>
              <w:rPr>
                <w:b/>
                <w:sz w:val="32"/>
              </w:rPr>
              <w:t>Data</w:t>
            </w:r>
            <w:r w:rsidRPr="00D70130">
              <w:rPr>
                <w:b/>
                <w:sz w:val="32"/>
              </w:rPr>
              <w:t xml:space="preserve"> </w:t>
            </w:r>
            <w:r>
              <w:rPr>
                <w:b/>
                <w:sz w:val="32"/>
              </w:rPr>
              <w:t>Sheet</w:t>
            </w:r>
            <w:r w:rsidRPr="00D70130">
              <w:rPr>
                <w:b/>
                <w:sz w:val="32"/>
              </w:rPr>
              <w:t xml:space="preserve"> </w:t>
            </w:r>
            <w:r>
              <w:rPr>
                <w:b/>
                <w:sz w:val="32"/>
              </w:rPr>
              <w:t xml:space="preserve">No.10 </w:t>
            </w:r>
            <w:r>
              <w:rPr>
                <w:b/>
                <w:color w:val="87BE2A"/>
                <w:sz w:val="32"/>
              </w:rPr>
              <w:t>Retread and Regen</w:t>
            </w:r>
          </w:p>
          <w:p w14:paraId="2BCAE223" w14:textId="010B953E" w:rsidR="00CB4FC5" w:rsidRDefault="00CB4FC5" w:rsidP="00DD72F1">
            <w:pPr>
              <w:pStyle w:val="TableParagraph"/>
              <w:spacing w:line="232" w:lineRule="exact"/>
              <w:rPr>
                <w:sz w:val="20"/>
              </w:rPr>
            </w:pPr>
            <w:r>
              <w:rPr>
                <w:sz w:val="20"/>
              </w:rPr>
              <w:t>Revised</w:t>
            </w:r>
            <w:r w:rsidRPr="00396F6E">
              <w:rPr>
                <w:sz w:val="20"/>
              </w:rPr>
              <w:t xml:space="preserve"> </w:t>
            </w:r>
            <w:r>
              <w:rPr>
                <w:sz w:val="20"/>
              </w:rPr>
              <w:t>by</w:t>
            </w:r>
            <w:r w:rsidRPr="00396F6E">
              <w:rPr>
                <w:sz w:val="20"/>
              </w:rPr>
              <w:t xml:space="preserve"> </w:t>
            </w:r>
            <w:r>
              <w:rPr>
                <w:sz w:val="20"/>
              </w:rPr>
              <w:t>the</w:t>
            </w:r>
            <w:r w:rsidRPr="00396F6E">
              <w:rPr>
                <w:sz w:val="20"/>
              </w:rPr>
              <w:t xml:space="preserve"> </w:t>
            </w:r>
            <w:r>
              <w:rPr>
                <w:sz w:val="20"/>
              </w:rPr>
              <w:t>Association’s</w:t>
            </w:r>
            <w:r w:rsidRPr="00396F6E">
              <w:rPr>
                <w:sz w:val="20"/>
              </w:rPr>
              <w:t xml:space="preserve"> </w:t>
            </w:r>
            <w:r>
              <w:rPr>
                <w:sz w:val="20"/>
              </w:rPr>
              <w:t>Technical</w:t>
            </w:r>
            <w:r w:rsidRPr="00396F6E">
              <w:rPr>
                <w:sz w:val="20"/>
              </w:rPr>
              <w:t xml:space="preserve"> </w:t>
            </w:r>
            <w:r>
              <w:rPr>
                <w:sz w:val="20"/>
              </w:rPr>
              <w:t>Committee</w:t>
            </w:r>
            <w:r w:rsidRPr="00396F6E">
              <w:rPr>
                <w:sz w:val="20"/>
              </w:rPr>
              <w:t xml:space="preserve"> </w:t>
            </w:r>
            <w:r>
              <w:rPr>
                <w:sz w:val="20"/>
              </w:rPr>
              <w:t>-</w:t>
            </w:r>
            <w:r w:rsidRPr="00396F6E">
              <w:rPr>
                <w:sz w:val="20"/>
              </w:rPr>
              <w:t xml:space="preserve"> </w:t>
            </w:r>
            <w:r w:rsidR="00E63D63">
              <w:rPr>
                <w:sz w:val="20"/>
              </w:rPr>
              <w:t>August</w:t>
            </w:r>
            <w:r>
              <w:rPr>
                <w:sz w:val="20"/>
              </w:rPr>
              <w:t xml:space="preserve"> 202</w:t>
            </w:r>
            <w:r w:rsidR="00352B06">
              <w:rPr>
                <w:sz w:val="20"/>
              </w:rPr>
              <w:t>5</w:t>
            </w:r>
          </w:p>
        </w:tc>
      </w:tr>
    </w:tbl>
    <w:p w14:paraId="36302B66" w14:textId="77777777" w:rsidR="000D552D" w:rsidRPr="00CB4FC5" w:rsidRDefault="000D552D" w:rsidP="00CB4FC5">
      <w:pPr>
        <w:rPr>
          <w:rFonts w:ascii="Trebuchet MS" w:hAnsi="Trebuchet MS"/>
        </w:rPr>
      </w:pPr>
    </w:p>
    <w:p w14:paraId="1941F393" w14:textId="4CA6CDC0" w:rsidR="000D552D" w:rsidRPr="00CB4FC5" w:rsidRDefault="000D552D" w:rsidP="00CB4FC5">
      <w:pPr>
        <w:rPr>
          <w:rFonts w:ascii="Trebuchet MS" w:hAnsi="Trebuchet MS"/>
          <w:b/>
          <w:bCs/>
        </w:rPr>
      </w:pPr>
      <w:r w:rsidRPr="00CB4FC5">
        <w:rPr>
          <w:rFonts w:ascii="Trebuchet MS" w:hAnsi="Trebuchet MS"/>
          <w:b/>
          <w:bCs/>
        </w:rPr>
        <w:t>1. Introduction</w:t>
      </w:r>
    </w:p>
    <w:p w14:paraId="1A892737" w14:textId="7C0BE9D4" w:rsidR="000D552D" w:rsidRPr="00CB4FC5" w:rsidRDefault="000D552D" w:rsidP="001B4983">
      <w:pPr>
        <w:jc w:val="both"/>
        <w:rPr>
          <w:rFonts w:ascii="Trebuchet MS" w:hAnsi="Trebuchet MS"/>
        </w:rPr>
      </w:pPr>
      <w:r w:rsidRPr="00CB4FC5">
        <w:rPr>
          <w:rFonts w:ascii="Trebuchet MS" w:hAnsi="Trebuchet MS"/>
        </w:rPr>
        <w:t xml:space="preserve">There </w:t>
      </w:r>
      <w:proofErr w:type="gramStart"/>
      <w:r w:rsidRPr="00CB4FC5">
        <w:rPr>
          <w:rFonts w:ascii="Trebuchet MS" w:hAnsi="Trebuchet MS"/>
        </w:rPr>
        <w:t>are</w:t>
      </w:r>
      <w:proofErr w:type="gramEnd"/>
      <w:r w:rsidRPr="00CB4FC5">
        <w:rPr>
          <w:rFonts w:ascii="Trebuchet MS" w:hAnsi="Trebuchet MS"/>
        </w:rPr>
        <w:t xml:space="preserve"> many coated macadam, grouted, and surface dressed roads which, although the foundations are sound, have become cracked, crazed and deformed. These defects may be corrected by superimposing an overlay of new macadam or by replacing the existing surfacing. Both these methods are costly and in the case of an overlay there is the extra expense of raising footway and kerb levels. </w:t>
      </w:r>
    </w:p>
    <w:p w14:paraId="5469F6DC" w14:textId="5C2032BF" w:rsidR="000D552D" w:rsidRPr="00CB4FC5" w:rsidRDefault="000D552D" w:rsidP="001B4983">
      <w:pPr>
        <w:jc w:val="both"/>
        <w:rPr>
          <w:rFonts w:ascii="Trebuchet MS" w:hAnsi="Trebuchet MS"/>
        </w:rPr>
      </w:pPr>
      <w:r w:rsidRPr="00CB4FC5">
        <w:rPr>
          <w:rFonts w:ascii="Trebuchet MS" w:hAnsi="Trebuchet MS"/>
        </w:rPr>
        <w:t xml:space="preserve">However, as the deterioration of the existing aggregate is normally negligible it can be recoated by </w:t>
      </w:r>
      <w:r w:rsidR="00B01540">
        <w:rPr>
          <w:rFonts w:ascii="Trebuchet MS" w:hAnsi="Trebuchet MS"/>
        </w:rPr>
        <w:t>the Retread or Regen</w:t>
      </w:r>
      <w:r w:rsidRPr="00CB4FC5">
        <w:rPr>
          <w:rFonts w:ascii="Trebuchet MS" w:hAnsi="Trebuchet MS"/>
        </w:rPr>
        <w:t xml:space="preserve"> </w:t>
      </w:r>
      <w:r w:rsidR="0079425D">
        <w:rPr>
          <w:rFonts w:ascii="Trebuchet MS" w:hAnsi="Trebuchet MS"/>
        </w:rPr>
        <w:t>p</w:t>
      </w:r>
      <w:r w:rsidRPr="00CB4FC5">
        <w:rPr>
          <w:rFonts w:ascii="Trebuchet MS" w:hAnsi="Trebuchet MS"/>
        </w:rPr>
        <w:t>rocess</w:t>
      </w:r>
      <w:r w:rsidR="0079425D">
        <w:rPr>
          <w:rFonts w:ascii="Trebuchet MS" w:hAnsi="Trebuchet MS"/>
        </w:rPr>
        <w:t>es</w:t>
      </w:r>
      <w:r w:rsidRPr="00CB4FC5">
        <w:rPr>
          <w:rFonts w:ascii="Trebuchet MS" w:hAnsi="Trebuchet MS"/>
        </w:rPr>
        <w:t xml:space="preserve"> </w:t>
      </w:r>
      <w:r w:rsidR="00B01540">
        <w:rPr>
          <w:rFonts w:ascii="Trebuchet MS" w:hAnsi="Trebuchet MS"/>
        </w:rPr>
        <w:t>to</w:t>
      </w:r>
      <w:r w:rsidRPr="00CB4FC5">
        <w:rPr>
          <w:rFonts w:ascii="Trebuchet MS" w:hAnsi="Trebuchet MS"/>
        </w:rPr>
        <w:t xml:space="preserve"> reshap</w:t>
      </w:r>
      <w:r w:rsidR="00B01540">
        <w:rPr>
          <w:rFonts w:ascii="Trebuchet MS" w:hAnsi="Trebuchet MS"/>
        </w:rPr>
        <w:t>e</w:t>
      </w:r>
      <w:r w:rsidRPr="00CB4FC5">
        <w:rPr>
          <w:rFonts w:ascii="Trebuchet MS" w:hAnsi="Trebuchet MS"/>
        </w:rPr>
        <w:t xml:space="preserve"> </w:t>
      </w:r>
      <w:r w:rsidR="00E706F1">
        <w:rPr>
          <w:rFonts w:ascii="Trebuchet MS" w:hAnsi="Trebuchet MS"/>
        </w:rPr>
        <w:t>and restore a</w:t>
      </w:r>
      <w:r w:rsidRPr="00CB4FC5">
        <w:rPr>
          <w:rFonts w:ascii="Trebuchet MS" w:hAnsi="Trebuchet MS"/>
        </w:rPr>
        <w:t xml:space="preserve"> skid resistant surface. The</w:t>
      </w:r>
      <w:r w:rsidR="00D17FCE">
        <w:rPr>
          <w:rFonts w:ascii="Trebuchet MS" w:hAnsi="Trebuchet MS"/>
        </w:rPr>
        <w:t>se</w:t>
      </w:r>
      <w:r w:rsidRPr="00CB4FC5">
        <w:rPr>
          <w:rFonts w:ascii="Trebuchet MS" w:hAnsi="Trebuchet MS"/>
        </w:rPr>
        <w:t xml:space="preserve"> process</w:t>
      </w:r>
      <w:r w:rsidR="00D17FCE">
        <w:rPr>
          <w:rFonts w:ascii="Trebuchet MS" w:hAnsi="Trebuchet MS"/>
        </w:rPr>
        <w:t>es are</w:t>
      </w:r>
      <w:r w:rsidRPr="00CB4FC5">
        <w:rPr>
          <w:rFonts w:ascii="Trebuchet MS" w:hAnsi="Trebuchet MS"/>
        </w:rPr>
        <w:t xml:space="preserve"> established form</w:t>
      </w:r>
      <w:r w:rsidR="00D17FCE">
        <w:rPr>
          <w:rFonts w:ascii="Trebuchet MS" w:hAnsi="Trebuchet MS"/>
        </w:rPr>
        <w:t>s</w:t>
      </w:r>
      <w:r w:rsidRPr="00CB4FC5">
        <w:rPr>
          <w:rFonts w:ascii="Trebuchet MS" w:hAnsi="Trebuchet MS"/>
        </w:rPr>
        <w:t xml:space="preserve"> of recycling road pavements and unlike many more recent concepts does not require the use of heat. It may be equally effective on water-bound, dry-bound, bitumen or tar-bound surfaces. Th</w:t>
      </w:r>
      <w:r w:rsidR="00645B33">
        <w:rPr>
          <w:rFonts w:ascii="Trebuchet MS" w:hAnsi="Trebuchet MS"/>
        </w:rPr>
        <w:t>ese</w:t>
      </w:r>
      <w:r w:rsidRPr="00CB4FC5">
        <w:rPr>
          <w:rFonts w:ascii="Trebuchet MS" w:hAnsi="Trebuchet MS"/>
        </w:rPr>
        <w:t xml:space="preserve"> technique</w:t>
      </w:r>
      <w:r w:rsidR="00645B33">
        <w:rPr>
          <w:rFonts w:ascii="Trebuchet MS" w:hAnsi="Trebuchet MS"/>
        </w:rPr>
        <w:t>s</w:t>
      </w:r>
      <w:r w:rsidRPr="00CB4FC5">
        <w:rPr>
          <w:rFonts w:ascii="Trebuchet MS" w:hAnsi="Trebuchet MS"/>
        </w:rPr>
        <w:t xml:space="preserve"> offer the opportunity of improving the shape and camber and thereby the drainage of the road. It is possible </w:t>
      </w:r>
      <w:r w:rsidR="003676DF">
        <w:rPr>
          <w:rFonts w:ascii="Trebuchet MS" w:hAnsi="Trebuchet MS"/>
        </w:rPr>
        <w:t xml:space="preserve">that </w:t>
      </w:r>
      <w:r w:rsidRPr="00CB4FC5">
        <w:rPr>
          <w:rFonts w:ascii="Trebuchet MS" w:hAnsi="Trebuchet MS"/>
        </w:rPr>
        <w:t>the</w:t>
      </w:r>
      <w:r w:rsidR="003676DF">
        <w:rPr>
          <w:rFonts w:ascii="Trebuchet MS" w:hAnsi="Trebuchet MS"/>
        </w:rPr>
        <w:t xml:space="preserve"> </w:t>
      </w:r>
      <w:r w:rsidRPr="00CB4FC5">
        <w:rPr>
          <w:rFonts w:ascii="Trebuchet MS" w:hAnsi="Trebuchet MS"/>
        </w:rPr>
        <w:t>process</w:t>
      </w:r>
      <w:r w:rsidR="003676DF">
        <w:rPr>
          <w:rFonts w:ascii="Trebuchet MS" w:hAnsi="Trebuchet MS"/>
        </w:rPr>
        <w:t>ing</w:t>
      </w:r>
      <w:r w:rsidRPr="00CB4FC5">
        <w:rPr>
          <w:rFonts w:ascii="Trebuchet MS" w:hAnsi="Trebuchet MS"/>
        </w:rPr>
        <w:t xml:space="preserve"> will uncover tar-bound </w:t>
      </w:r>
      <w:proofErr w:type="gramStart"/>
      <w:r w:rsidRPr="00CB4FC5">
        <w:rPr>
          <w:rFonts w:ascii="Trebuchet MS" w:hAnsi="Trebuchet MS"/>
        </w:rPr>
        <w:t>material</w:t>
      </w:r>
      <w:proofErr w:type="gramEnd"/>
      <w:r w:rsidRPr="00CB4FC5">
        <w:rPr>
          <w:rFonts w:ascii="Trebuchet MS" w:hAnsi="Trebuchet MS"/>
        </w:rPr>
        <w:t xml:space="preserve"> and this will need to be dealt with in the appropriate manner with due consideration for the Health and Safety issues.</w:t>
      </w:r>
    </w:p>
    <w:p w14:paraId="3C5D54AF" w14:textId="77777777" w:rsidR="000D552D" w:rsidRPr="00CB4FC5" w:rsidRDefault="000D552D" w:rsidP="00CB4FC5">
      <w:pPr>
        <w:rPr>
          <w:rFonts w:ascii="Trebuchet MS" w:hAnsi="Trebuchet MS"/>
        </w:rPr>
      </w:pPr>
    </w:p>
    <w:p w14:paraId="003039F5" w14:textId="77777777" w:rsidR="000D552D" w:rsidRPr="00CB4FC5" w:rsidRDefault="000D552D" w:rsidP="00CB4FC5">
      <w:pPr>
        <w:rPr>
          <w:rFonts w:ascii="Trebuchet MS" w:hAnsi="Trebuchet MS"/>
          <w:b/>
          <w:bCs/>
        </w:rPr>
      </w:pPr>
      <w:r w:rsidRPr="00CB4FC5">
        <w:rPr>
          <w:rFonts w:ascii="Trebuchet MS" w:hAnsi="Trebuchet MS"/>
          <w:b/>
          <w:bCs/>
        </w:rPr>
        <w:t>2. Application</w:t>
      </w:r>
    </w:p>
    <w:p w14:paraId="545D1340" w14:textId="34690E37" w:rsidR="000D552D" w:rsidRPr="00CB4FC5" w:rsidRDefault="000D552D" w:rsidP="001B4983">
      <w:pPr>
        <w:jc w:val="both"/>
        <w:rPr>
          <w:rFonts w:ascii="Trebuchet MS" w:hAnsi="Trebuchet MS"/>
        </w:rPr>
      </w:pPr>
      <w:r w:rsidRPr="00CB4FC5">
        <w:rPr>
          <w:rFonts w:ascii="Trebuchet MS" w:hAnsi="Trebuchet MS"/>
        </w:rPr>
        <w:t>The process consists of scarifying the old road to a suitable depth, breaking down the scarified material to the required size and reshaping. This is then mixed with a selected class of emulsion by spraying</w:t>
      </w:r>
      <w:r w:rsidR="00352B06">
        <w:rPr>
          <w:rFonts w:ascii="Trebuchet MS" w:hAnsi="Trebuchet MS"/>
        </w:rPr>
        <w:t>,</w:t>
      </w:r>
      <w:r w:rsidRPr="00CB4FC5">
        <w:rPr>
          <w:rFonts w:ascii="Trebuchet MS" w:hAnsi="Trebuchet MS"/>
        </w:rPr>
        <w:t xml:space="preserve"> followed by harrowing and rolling</w:t>
      </w:r>
      <w:r w:rsidR="001E07FE">
        <w:rPr>
          <w:rFonts w:ascii="Trebuchet MS" w:hAnsi="Trebuchet MS"/>
        </w:rPr>
        <w:t>.</w:t>
      </w:r>
      <w:r w:rsidR="00B206AF" w:rsidRPr="00B206AF">
        <w:t xml:space="preserve"> </w:t>
      </w:r>
      <w:r w:rsidR="00B206AF" w:rsidRPr="00B206AF">
        <w:rPr>
          <w:rFonts w:ascii="Trebuchet MS" w:hAnsi="Trebuchet MS"/>
        </w:rPr>
        <w:t xml:space="preserve">Additives </w:t>
      </w:r>
      <w:r w:rsidR="00B206AF">
        <w:rPr>
          <w:rFonts w:ascii="Trebuchet MS" w:hAnsi="Trebuchet MS"/>
        </w:rPr>
        <w:t xml:space="preserve">such as Portland Cement </w:t>
      </w:r>
      <w:r w:rsidR="00F50E53" w:rsidRPr="00B206AF">
        <w:rPr>
          <w:rFonts w:ascii="Trebuchet MS" w:hAnsi="Trebuchet MS"/>
        </w:rPr>
        <w:t>compl</w:t>
      </w:r>
      <w:r w:rsidR="00F50E53">
        <w:rPr>
          <w:rFonts w:ascii="Trebuchet MS" w:hAnsi="Trebuchet MS"/>
        </w:rPr>
        <w:t>ying</w:t>
      </w:r>
      <w:r w:rsidR="00B206AF" w:rsidRPr="00B206AF">
        <w:rPr>
          <w:rFonts w:ascii="Trebuchet MS" w:hAnsi="Trebuchet MS"/>
        </w:rPr>
        <w:t xml:space="preserve"> with the relevant British Standard e.g. Portland Cement to BS EN</w:t>
      </w:r>
      <w:r w:rsidR="00E63D63">
        <w:rPr>
          <w:rFonts w:ascii="Trebuchet MS" w:hAnsi="Trebuchet MS"/>
        </w:rPr>
        <w:t xml:space="preserve"> </w:t>
      </w:r>
      <w:r w:rsidR="00B206AF" w:rsidRPr="00B206AF">
        <w:rPr>
          <w:rFonts w:ascii="Trebuchet MS" w:hAnsi="Trebuchet MS"/>
        </w:rPr>
        <w:t>197-1</w:t>
      </w:r>
      <w:r w:rsidR="00F62992">
        <w:rPr>
          <w:rFonts w:ascii="Trebuchet MS" w:hAnsi="Trebuchet MS"/>
        </w:rPr>
        <w:t xml:space="preserve"> [1</w:t>
      </w:r>
      <w:r w:rsidR="00E63D63">
        <w:rPr>
          <w:rFonts w:ascii="Trebuchet MS" w:hAnsi="Trebuchet MS"/>
        </w:rPr>
        <w:t>]</w:t>
      </w:r>
      <w:r w:rsidR="00F50E53">
        <w:rPr>
          <w:rFonts w:ascii="Trebuchet MS" w:hAnsi="Trebuchet MS"/>
        </w:rPr>
        <w:t xml:space="preserve"> can be introduced to improve stiffness and curing times.</w:t>
      </w:r>
      <w:r w:rsidRPr="00CB4FC5">
        <w:rPr>
          <w:rFonts w:ascii="Trebuchet MS" w:hAnsi="Trebuchet MS"/>
        </w:rPr>
        <w:t xml:space="preserve"> Finally, the road is</w:t>
      </w:r>
      <w:r w:rsidR="00F50E53">
        <w:rPr>
          <w:rFonts w:ascii="Trebuchet MS" w:hAnsi="Trebuchet MS"/>
        </w:rPr>
        <w:t xml:space="preserve"> normally</w:t>
      </w:r>
      <w:r w:rsidRPr="00CB4FC5">
        <w:rPr>
          <w:rFonts w:ascii="Trebuchet MS" w:hAnsi="Trebuchet MS"/>
        </w:rPr>
        <w:t xml:space="preserve"> surface dressed.</w:t>
      </w:r>
      <w:r w:rsidR="60DC4E1C" w:rsidRPr="00CB4FC5">
        <w:rPr>
          <w:rFonts w:ascii="Trebuchet MS" w:hAnsi="Trebuchet MS"/>
        </w:rPr>
        <w:t xml:space="preserve"> Specific guidance for the Retread and Regen processes can be found in BS</w:t>
      </w:r>
      <w:r w:rsidR="00E63D63">
        <w:rPr>
          <w:rFonts w:ascii="Trebuchet MS" w:hAnsi="Trebuchet MS"/>
        </w:rPr>
        <w:t xml:space="preserve"> </w:t>
      </w:r>
      <w:r w:rsidR="60DC4E1C" w:rsidRPr="00CB4FC5">
        <w:rPr>
          <w:rFonts w:ascii="Trebuchet MS" w:hAnsi="Trebuchet MS"/>
        </w:rPr>
        <w:t>9228</w:t>
      </w:r>
      <w:r w:rsidR="00F62992">
        <w:rPr>
          <w:rFonts w:ascii="Trebuchet MS" w:hAnsi="Trebuchet MS"/>
        </w:rPr>
        <w:t xml:space="preserve"> </w:t>
      </w:r>
      <w:r w:rsidR="60DC4E1C" w:rsidRPr="00CB4FC5">
        <w:rPr>
          <w:rFonts w:ascii="Trebuchet MS" w:hAnsi="Trebuchet MS"/>
        </w:rPr>
        <w:t>[</w:t>
      </w:r>
      <w:r w:rsidR="00134A64">
        <w:rPr>
          <w:rFonts w:ascii="Trebuchet MS" w:hAnsi="Trebuchet MS"/>
        </w:rPr>
        <w:t>2</w:t>
      </w:r>
      <w:r w:rsidR="60DC4E1C" w:rsidRPr="00CB4FC5">
        <w:rPr>
          <w:rFonts w:ascii="Trebuchet MS" w:hAnsi="Trebuchet MS"/>
        </w:rPr>
        <w:t>].</w:t>
      </w:r>
    </w:p>
    <w:p w14:paraId="4FF4828C" w14:textId="77777777" w:rsidR="000D552D" w:rsidRPr="00CB4FC5" w:rsidRDefault="000D552D" w:rsidP="001B4983">
      <w:pPr>
        <w:jc w:val="both"/>
        <w:rPr>
          <w:rFonts w:ascii="Trebuchet MS" w:hAnsi="Trebuchet MS"/>
        </w:rPr>
      </w:pPr>
      <w:r w:rsidRPr="00CB4FC5">
        <w:rPr>
          <w:rFonts w:ascii="Trebuchet MS" w:hAnsi="Trebuchet MS"/>
        </w:rPr>
        <w:t>The process is carried out in the following stages:</w:t>
      </w:r>
    </w:p>
    <w:p w14:paraId="0D8DF4E4" w14:textId="2367B5F1" w:rsidR="000D552D" w:rsidRPr="00CB4FC5" w:rsidRDefault="000D552D" w:rsidP="001B4983">
      <w:pPr>
        <w:jc w:val="both"/>
        <w:rPr>
          <w:rFonts w:ascii="Trebuchet MS" w:hAnsi="Trebuchet MS"/>
        </w:rPr>
      </w:pPr>
      <w:r w:rsidRPr="00CB4FC5">
        <w:rPr>
          <w:rFonts w:ascii="Trebuchet MS" w:hAnsi="Trebuchet MS"/>
        </w:rPr>
        <w:t xml:space="preserve">1. The existing road surface is broken up to a depth of </w:t>
      </w:r>
      <w:proofErr w:type="spellStart"/>
      <w:r w:rsidR="3CB7EF61" w:rsidRPr="00CB4FC5">
        <w:rPr>
          <w:rFonts w:ascii="Trebuchet MS" w:hAnsi="Trebuchet MS"/>
        </w:rPr>
        <w:t>upto</w:t>
      </w:r>
      <w:proofErr w:type="spellEnd"/>
      <w:r w:rsidR="3CB7EF61" w:rsidRPr="00CB4FC5">
        <w:rPr>
          <w:rFonts w:ascii="Trebuchet MS" w:hAnsi="Trebuchet MS"/>
        </w:rPr>
        <w:t xml:space="preserve"> 150</w:t>
      </w:r>
      <w:r w:rsidRPr="00CB4FC5">
        <w:rPr>
          <w:rFonts w:ascii="Trebuchet MS" w:hAnsi="Trebuchet MS"/>
        </w:rPr>
        <w:t>mm. This material is then harrowed and rolled until it is reduced to a suitable grading containing no material over 75 mm in size. If the grading is deficient, new aggregate of one or more sizes is added to correct the grading of the existing surfacing. The surface is then reshaped to the required profile using an approved grader.</w:t>
      </w:r>
    </w:p>
    <w:p w14:paraId="53FC0110" w14:textId="3A34C077" w:rsidR="000D552D" w:rsidRPr="00CB4FC5" w:rsidRDefault="000D552D" w:rsidP="001B4983">
      <w:pPr>
        <w:jc w:val="both"/>
        <w:rPr>
          <w:rFonts w:ascii="Trebuchet MS" w:hAnsi="Trebuchet MS"/>
        </w:rPr>
      </w:pPr>
      <w:r w:rsidRPr="00CB4FC5">
        <w:rPr>
          <w:rFonts w:ascii="Trebuchet MS" w:hAnsi="Trebuchet MS"/>
        </w:rPr>
        <w:t xml:space="preserve">2. Depending on the grading and type of surface to be treated, bitumen emulsion to BS EN 13808 </w:t>
      </w:r>
      <w:r w:rsidR="00A36DFE">
        <w:rPr>
          <w:rFonts w:ascii="Trebuchet MS" w:hAnsi="Trebuchet MS"/>
        </w:rPr>
        <w:t>[</w:t>
      </w:r>
      <w:r w:rsidR="00134A64">
        <w:rPr>
          <w:rFonts w:ascii="Trebuchet MS" w:hAnsi="Trebuchet MS"/>
        </w:rPr>
        <w:t>3</w:t>
      </w:r>
      <w:r w:rsidR="00A36DFE">
        <w:rPr>
          <w:rFonts w:ascii="Trebuchet MS" w:hAnsi="Trebuchet MS"/>
        </w:rPr>
        <w:t xml:space="preserve">] </w:t>
      </w:r>
      <w:r w:rsidRPr="00CB4FC5">
        <w:rPr>
          <w:rFonts w:ascii="Trebuchet MS" w:hAnsi="Trebuchet MS"/>
        </w:rPr>
        <w:t>is applied by a bulk distributor. After each application except the last, harrows are traversed to turn the stone and to distribute the emulsion evenly.</w:t>
      </w:r>
    </w:p>
    <w:p w14:paraId="7ADF86B2" w14:textId="3D5331A4" w:rsidR="000D552D" w:rsidRPr="00CB4FC5" w:rsidRDefault="000D552D" w:rsidP="001B4983">
      <w:pPr>
        <w:jc w:val="both"/>
        <w:rPr>
          <w:rFonts w:ascii="Trebuchet MS" w:hAnsi="Trebuchet MS"/>
        </w:rPr>
      </w:pPr>
      <w:r w:rsidRPr="00CB4FC5">
        <w:rPr>
          <w:rFonts w:ascii="Trebuchet MS" w:hAnsi="Trebuchet MS"/>
        </w:rPr>
        <w:t xml:space="preserve">3. If </w:t>
      </w:r>
      <w:r w:rsidR="00F50E53" w:rsidRPr="00CB4FC5">
        <w:rPr>
          <w:rFonts w:ascii="Trebuchet MS" w:hAnsi="Trebuchet MS"/>
        </w:rPr>
        <w:t>necessary,</w:t>
      </w:r>
      <w:r w:rsidRPr="00CB4FC5">
        <w:rPr>
          <w:rFonts w:ascii="Trebuchet MS" w:hAnsi="Trebuchet MS"/>
        </w:rPr>
        <w:t xml:space="preserve"> the road is reshaped with a grader and then rolled preferably</w:t>
      </w:r>
      <w:r w:rsidR="00352B06">
        <w:rPr>
          <w:rFonts w:ascii="Trebuchet MS" w:hAnsi="Trebuchet MS"/>
        </w:rPr>
        <w:t>,</w:t>
      </w:r>
      <w:r w:rsidRPr="00CB4FC5">
        <w:rPr>
          <w:rFonts w:ascii="Trebuchet MS" w:hAnsi="Trebuchet MS"/>
        </w:rPr>
        <w:t xml:space="preserve"> with an 8 to 10 tonne deadweight roller. The surface voids are filled with 6/14mm chippings, applied at an appropriate rate and rolled.</w:t>
      </w:r>
    </w:p>
    <w:p w14:paraId="0F5BB1F8" w14:textId="4A65F1C4" w:rsidR="000D552D" w:rsidRPr="00CB4FC5" w:rsidRDefault="000D552D" w:rsidP="001B4983">
      <w:pPr>
        <w:jc w:val="both"/>
        <w:rPr>
          <w:rFonts w:ascii="Trebuchet MS" w:hAnsi="Trebuchet MS"/>
        </w:rPr>
      </w:pPr>
      <w:r w:rsidRPr="00CB4FC5">
        <w:rPr>
          <w:rFonts w:ascii="Trebuchet MS" w:hAnsi="Trebuchet MS"/>
        </w:rPr>
        <w:t xml:space="preserve">4. The surface should then be sealed by applying bitumen emulsion to BS EN 13808 class C60B3 or C69B3 </w:t>
      </w:r>
      <w:r w:rsidR="0079631D">
        <w:rPr>
          <w:rFonts w:ascii="Trebuchet MS" w:hAnsi="Trebuchet MS"/>
        </w:rPr>
        <w:t xml:space="preserve">or similar </w:t>
      </w:r>
      <w:r w:rsidR="00D91784">
        <w:rPr>
          <w:rFonts w:ascii="Trebuchet MS" w:hAnsi="Trebuchet MS"/>
        </w:rPr>
        <w:t xml:space="preserve">polymer modified </w:t>
      </w:r>
      <w:r w:rsidR="0046202A">
        <w:rPr>
          <w:rFonts w:ascii="Trebuchet MS" w:hAnsi="Trebuchet MS"/>
        </w:rPr>
        <w:t xml:space="preserve">grade </w:t>
      </w:r>
      <w:r w:rsidRPr="00CB4FC5">
        <w:rPr>
          <w:rFonts w:ascii="Trebuchet MS" w:hAnsi="Trebuchet MS"/>
        </w:rPr>
        <w:t>at a rate of 0.9 to 1.2 l/m</w:t>
      </w:r>
      <w:r w:rsidRPr="00944C13">
        <w:rPr>
          <w:rFonts w:ascii="Trebuchet MS" w:hAnsi="Trebuchet MS"/>
          <w:vertAlign w:val="superscript"/>
        </w:rPr>
        <w:t>2</w:t>
      </w:r>
      <w:r w:rsidRPr="00CB4FC5">
        <w:rPr>
          <w:rFonts w:ascii="Trebuchet MS" w:hAnsi="Trebuchet MS"/>
        </w:rPr>
        <w:t xml:space="preserve"> and according to the texture blinded with 2/6 mm or 4/10 mm chippings. The surface is then rolled.</w:t>
      </w:r>
    </w:p>
    <w:p w14:paraId="45631C96" w14:textId="07349E5A" w:rsidR="000D552D" w:rsidRPr="00CB4FC5" w:rsidRDefault="000D552D" w:rsidP="001B4983">
      <w:pPr>
        <w:jc w:val="both"/>
        <w:rPr>
          <w:rFonts w:ascii="Trebuchet MS" w:hAnsi="Trebuchet MS"/>
        </w:rPr>
      </w:pPr>
      <w:r w:rsidRPr="00CB4FC5">
        <w:rPr>
          <w:rFonts w:ascii="Trebuchet MS" w:hAnsi="Trebuchet MS"/>
        </w:rPr>
        <w:lastRenderedPageBreak/>
        <w:t xml:space="preserve">5. After a </w:t>
      </w:r>
      <w:proofErr w:type="gramStart"/>
      <w:r w:rsidRPr="00CB4FC5">
        <w:rPr>
          <w:rFonts w:ascii="Trebuchet MS" w:hAnsi="Trebuchet MS"/>
        </w:rPr>
        <w:t>period</w:t>
      </w:r>
      <w:proofErr w:type="gramEnd"/>
      <w:r w:rsidRPr="00CB4FC5">
        <w:rPr>
          <w:rFonts w:ascii="Trebuchet MS" w:hAnsi="Trebuchet MS"/>
        </w:rPr>
        <w:t xml:space="preserve"> which may vary from a few days to three months depending on weather conditions, traffic etc., the </w:t>
      </w:r>
      <w:r w:rsidR="1AC3F540" w:rsidRPr="00CB4FC5">
        <w:rPr>
          <w:rFonts w:ascii="Trebuchet MS" w:hAnsi="Trebuchet MS"/>
        </w:rPr>
        <w:t xml:space="preserve">treated </w:t>
      </w:r>
      <w:r w:rsidRPr="00CB4FC5">
        <w:rPr>
          <w:rFonts w:ascii="Trebuchet MS" w:hAnsi="Trebuchet MS"/>
        </w:rPr>
        <w:t xml:space="preserve">surface should be surface dressed </w:t>
      </w:r>
      <w:proofErr w:type="gramStart"/>
      <w:r w:rsidRPr="00CB4FC5">
        <w:rPr>
          <w:rFonts w:ascii="Trebuchet MS" w:hAnsi="Trebuchet MS"/>
        </w:rPr>
        <w:t>with</w:t>
      </w:r>
      <w:proofErr w:type="gramEnd"/>
      <w:r w:rsidRPr="00CB4FC5">
        <w:rPr>
          <w:rFonts w:ascii="Trebuchet MS" w:hAnsi="Trebuchet MS"/>
        </w:rPr>
        <w:t xml:space="preserve"> bitumen emulsion to BS EN 13808 class C60B3 or C69B3 </w:t>
      </w:r>
      <w:r w:rsidR="2F5B22EF" w:rsidRPr="00CB4FC5">
        <w:rPr>
          <w:rFonts w:ascii="Trebuchet MS" w:hAnsi="Trebuchet MS"/>
        </w:rPr>
        <w:t xml:space="preserve">or similar polymer modified emulsions </w:t>
      </w:r>
      <w:r w:rsidRPr="00CB4FC5">
        <w:rPr>
          <w:rFonts w:ascii="Trebuchet MS" w:hAnsi="Trebuchet MS"/>
        </w:rPr>
        <w:t>using 2/6 mm or 4/10 mm chippings. Depending on the road category the rate of application of the emulsion should be increased by approximately 0.2</w:t>
      </w:r>
      <w:r w:rsidR="00E63D63">
        <w:rPr>
          <w:rFonts w:ascii="Trebuchet MS" w:hAnsi="Trebuchet MS"/>
        </w:rPr>
        <w:t xml:space="preserve"> </w:t>
      </w:r>
      <w:r w:rsidRPr="00CB4FC5">
        <w:rPr>
          <w:rFonts w:ascii="Trebuchet MS" w:hAnsi="Trebuchet MS"/>
        </w:rPr>
        <w:t>l/m</w:t>
      </w:r>
      <w:r w:rsidRPr="00944C13">
        <w:rPr>
          <w:rFonts w:ascii="Trebuchet MS" w:hAnsi="Trebuchet MS"/>
          <w:vertAlign w:val="superscript"/>
        </w:rPr>
        <w:t>2</w:t>
      </w:r>
      <w:r w:rsidRPr="00CB4FC5">
        <w:rPr>
          <w:rFonts w:ascii="Trebuchet MS" w:hAnsi="Trebuchet MS"/>
        </w:rPr>
        <w:t xml:space="preserve"> over the appropriate recommendation for hard surfaces in TRL Road Note 39 [</w:t>
      </w:r>
      <w:r w:rsidR="00134A64">
        <w:rPr>
          <w:rFonts w:ascii="Trebuchet MS" w:hAnsi="Trebuchet MS"/>
        </w:rPr>
        <w:t>4</w:t>
      </w:r>
      <w:r w:rsidRPr="00CB4FC5">
        <w:rPr>
          <w:rFonts w:ascii="Trebuchet MS" w:hAnsi="Trebuchet MS"/>
        </w:rPr>
        <w:t>]. Alternatively, a slurry surfacing or bituminous wearing course may be applied.</w:t>
      </w:r>
    </w:p>
    <w:p w14:paraId="6A53AF92" w14:textId="77777777" w:rsidR="000D552D" w:rsidRPr="00CB4FC5" w:rsidRDefault="000D552D" w:rsidP="001B4983">
      <w:pPr>
        <w:jc w:val="both"/>
        <w:rPr>
          <w:rFonts w:ascii="Trebuchet MS" w:hAnsi="Trebuchet MS"/>
        </w:rPr>
      </w:pPr>
    </w:p>
    <w:p w14:paraId="46F3199B" w14:textId="6187A3DA" w:rsidR="000D552D" w:rsidRPr="00CB4FC5" w:rsidRDefault="000D552D" w:rsidP="001B4983">
      <w:pPr>
        <w:jc w:val="both"/>
        <w:rPr>
          <w:rFonts w:ascii="Trebuchet MS" w:eastAsia="Calibri" w:hAnsi="Trebuchet MS" w:cs="Calibri"/>
          <w:b/>
          <w:bCs/>
          <w:color w:val="000000" w:themeColor="text1"/>
        </w:rPr>
      </w:pPr>
      <w:r w:rsidRPr="00CB4FC5">
        <w:rPr>
          <w:rFonts w:ascii="Trebuchet MS" w:hAnsi="Trebuchet MS"/>
          <w:b/>
          <w:bCs/>
        </w:rPr>
        <w:t xml:space="preserve">3. </w:t>
      </w:r>
      <w:r w:rsidR="4AAB9A41" w:rsidRPr="00CB4FC5">
        <w:rPr>
          <w:rFonts w:ascii="Trebuchet MS" w:eastAsia="Calibri" w:hAnsi="Trebuchet MS" w:cs="Calibri"/>
          <w:b/>
          <w:bCs/>
          <w:color w:val="000000" w:themeColor="text1"/>
        </w:rPr>
        <w:t xml:space="preserve">UKCA/CE marking </w:t>
      </w:r>
    </w:p>
    <w:p w14:paraId="681D1931" w14:textId="77777777" w:rsidR="00352B06" w:rsidRDefault="00352B06" w:rsidP="00352B06">
      <w:pPr>
        <w:jc w:val="both"/>
        <w:rPr>
          <w:rFonts w:ascii="Trebuchet MS" w:hAnsi="Trebuchet MS"/>
        </w:rPr>
      </w:pPr>
      <w:r w:rsidRPr="006E3838">
        <w:rPr>
          <w:rFonts w:ascii="Trebuchet MS" w:hAnsi="Trebuchet MS"/>
        </w:rPr>
        <w:t xml:space="preserve">At the end of June 2013, the Construction Products Regulation (CPR) was fully implemented in all EU member states. Since then, Construction products covered by a harmonised European standard (EN) have a legal requirement to be CE marked </w:t>
      </w:r>
      <w:proofErr w:type="gramStart"/>
      <w:r w:rsidRPr="006E3838">
        <w:rPr>
          <w:rFonts w:ascii="Trebuchet MS" w:hAnsi="Trebuchet MS"/>
        </w:rPr>
        <w:t>in order to</w:t>
      </w:r>
      <w:proofErr w:type="gramEnd"/>
      <w:r w:rsidRPr="006E3838">
        <w:rPr>
          <w:rFonts w:ascii="Trebuchet MS" w:hAnsi="Trebuchet MS"/>
        </w:rPr>
        <w:t xml:space="preserve"> place them on the European market. The UK withdrew from the European Union in January 2020 and in January 2021 introduced its own UKCA mark</w:t>
      </w:r>
      <w:r>
        <w:rPr>
          <w:rFonts w:ascii="Trebuchet MS" w:hAnsi="Trebuchet MS"/>
        </w:rPr>
        <w:t xml:space="preserve">. A </w:t>
      </w:r>
      <w:r w:rsidRPr="006E3838">
        <w:rPr>
          <w:rFonts w:ascii="Trebuchet MS" w:hAnsi="Trebuchet MS"/>
        </w:rPr>
        <w:t xml:space="preserve">transition period for implementation of the UKCA mark </w:t>
      </w:r>
      <w:r>
        <w:rPr>
          <w:rFonts w:ascii="Trebuchet MS" w:hAnsi="Trebuchet MS"/>
        </w:rPr>
        <w:t>w</w:t>
      </w:r>
      <w:r w:rsidRPr="006E3838">
        <w:rPr>
          <w:rFonts w:ascii="Trebuchet MS" w:hAnsi="Trebuchet MS"/>
        </w:rPr>
        <w:t xml:space="preserve">as introduced </w:t>
      </w:r>
      <w:r>
        <w:rPr>
          <w:rFonts w:ascii="Trebuchet MS" w:hAnsi="Trebuchet MS"/>
        </w:rPr>
        <w:t>but this period has been extended indefinitely meaning that both CE and UKCA Marking can continue to be used.</w:t>
      </w:r>
    </w:p>
    <w:p w14:paraId="120A002C" w14:textId="77777777" w:rsidR="000D552D" w:rsidRPr="00CB4FC5" w:rsidRDefault="000D552D" w:rsidP="001B4983">
      <w:pPr>
        <w:jc w:val="both"/>
        <w:rPr>
          <w:rFonts w:ascii="Trebuchet MS" w:hAnsi="Trebuchet MS"/>
        </w:rPr>
      </w:pPr>
    </w:p>
    <w:p w14:paraId="5518269A" w14:textId="507E22CD" w:rsidR="000D552D" w:rsidRPr="00CB4FC5" w:rsidRDefault="000D552D" w:rsidP="001B4983">
      <w:pPr>
        <w:jc w:val="both"/>
        <w:rPr>
          <w:rFonts w:ascii="Trebuchet MS" w:hAnsi="Trebuchet MS"/>
          <w:b/>
          <w:bCs/>
          <w:i/>
          <w:iCs/>
        </w:rPr>
      </w:pPr>
      <w:r w:rsidRPr="00CB4FC5">
        <w:rPr>
          <w:rFonts w:ascii="Trebuchet MS" w:hAnsi="Trebuchet MS"/>
          <w:b/>
          <w:bCs/>
          <w:i/>
          <w:iCs/>
        </w:rPr>
        <w:t>References</w:t>
      </w:r>
    </w:p>
    <w:p w14:paraId="6B3E2EDC" w14:textId="08ABA742" w:rsidR="00134A64" w:rsidRDefault="000D552D" w:rsidP="005B4DDB">
      <w:pPr>
        <w:jc w:val="both"/>
        <w:rPr>
          <w:rFonts w:ascii="Trebuchet MS" w:hAnsi="Trebuchet MS"/>
        </w:rPr>
      </w:pPr>
      <w:r w:rsidRPr="00CB4FC5">
        <w:rPr>
          <w:rFonts w:ascii="Trebuchet MS" w:hAnsi="Trebuchet MS"/>
        </w:rPr>
        <w:t>[1]</w:t>
      </w:r>
      <w:r w:rsidR="00134A64" w:rsidRPr="00134A64">
        <w:rPr>
          <w:rFonts w:ascii="Trebuchet MS" w:hAnsi="Trebuchet MS"/>
        </w:rPr>
        <w:t xml:space="preserve"> BS</w:t>
      </w:r>
      <w:r w:rsidR="001B4983">
        <w:rPr>
          <w:rFonts w:ascii="Trebuchet MS" w:hAnsi="Trebuchet MS"/>
        </w:rPr>
        <w:t xml:space="preserve"> </w:t>
      </w:r>
      <w:r w:rsidR="00134A64" w:rsidRPr="00134A64">
        <w:rPr>
          <w:rFonts w:ascii="Trebuchet MS" w:hAnsi="Trebuchet MS"/>
        </w:rPr>
        <w:t>EN</w:t>
      </w:r>
      <w:r w:rsidR="00E63D63">
        <w:rPr>
          <w:rFonts w:ascii="Trebuchet MS" w:hAnsi="Trebuchet MS"/>
        </w:rPr>
        <w:t xml:space="preserve"> </w:t>
      </w:r>
      <w:r w:rsidR="00134A64" w:rsidRPr="00134A64">
        <w:rPr>
          <w:rFonts w:ascii="Trebuchet MS" w:hAnsi="Trebuchet MS"/>
        </w:rPr>
        <w:t>197-1:20</w:t>
      </w:r>
      <w:r w:rsidR="001B4983">
        <w:rPr>
          <w:rFonts w:ascii="Trebuchet MS" w:hAnsi="Trebuchet MS"/>
        </w:rPr>
        <w:t>11</w:t>
      </w:r>
      <w:r w:rsidR="00134A64" w:rsidRPr="00134A64">
        <w:rPr>
          <w:rFonts w:ascii="Trebuchet MS" w:hAnsi="Trebuchet MS"/>
        </w:rPr>
        <w:t xml:space="preserve"> Cement. Composition, </w:t>
      </w:r>
      <w:r w:rsidR="001B4983" w:rsidRPr="00134A64">
        <w:rPr>
          <w:rFonts w:ascii="Trebuchet MS" w:hAnsi="Trebuchet MS"/>
        </w:rPr>
        <w:t>specifications</w:t>
      </w:r>
      <w:r w:rsidR="001B4983">
        <w:rPr>
          <w:rFonts w:ascii="Trebuchet MS" w:hAnsi="Trebuchet MS"/>
        </w:rPr>
        <w:t xml:space="preserve"> </w:t>
      </w:r>
      <w:r w:rsidR="00134A64" w:rsidRPr="00134A64">
        <w:rPr>
          <w:rFonts w:ascii="Trebuchet MS" w:hAnsi="Trebuchet MS"/>
        </w:rPr>
        <w:t>and conformity criteria for common cements</w:t>
      </w:r>
    </w:p>
    <w:p w14:paraId="2BB4D047" w14:textId="526DCC27" w:rsidR="000D552D" w:rsidRPr="00CB4FC5" w:rsidRDefault="00134A64" w:rsidP="005B4DDB">
      <w:pPr>
        <w:jc w:val="both"/>
        <w:rPr>
          <w:rFonts w:ascii="Trebuchet MS" w:hAnsi="Trebuchet MS"/>
        </w:rPr>
      </w:pPr>
      <w:r>
        <w:rPr>
          <w:rFonts w:ascii="Trebuchet MS" w:hAnsi="Trebuchet MS"/>
        </w:rPr>
        <w:t xml:space="preserve">[2] </w:t>
      </w:r>
      <w:r w:rsidR="07B40853" w:rsidRPr="00CB4FC5">
        <w:rPr>
          <w:rFonts w:ascii="Trebuchet MS" w:hAnsi="Trebuchet MS"/>
        </w:rPr>
        <w:t>BS</w:t>
      </w:r>
      <w:r w:rsidR="001B4983">
        <w:rPr>
          <w:rFonts w:ascii="Trebuchet MS" w:hAnsi="Trebuchet MS"/>
        </w:rPr>
        <w:t xml:space="preserve"> </w:t>
      </w:r>
      <w:r w:rsidR="07B40853" w:rsidRPr="00CB4FC5">
        <w:rPr>
          <w:rFonts w:ascii="Trebuchet MS" w:hAnsi="Trebuchet MS"/>
        </w:rPr>
        <w:t>9228</w:t>
      </w:r>
      <w:r w:rsidR="00951F79">
        <w:rPr>
          <w:rFonts w:ascii="Trebuchet MS" w:hAnsi="Trebuchet MS"/>
        </w:rPr>
        <w:t>:2021</w:t>
      </w:r>
      <w:r w:rsidR="2B8DC45F" w:rsidRPr="00CB4FC5">
        <w:rPr>
          <w:rFonts w:ascii="Trebuchet MS" w:hAnsi="Trebuchet MS"/>
        </w:rPr>
        <w:t xml:space="preserve"> Recycling of roads and other paved areas using bitumen emulsion, foamed bitumen or hydraulic material. Materials, production, installation and product type testing. Specification. Specification for materials, production, installation and product type testing</w:t>
      </w:r>
    </w:p>
    <w:p w14:paraId="4ACE7B2A" w14:textId="5ED4A3D8" w:rsidR="000D552D" w:rsidRPr="00CB4FC5" w:rsidRDefault="07B40853" w:rsidP="005B4DDB">
      <w:pPr>
        <w:jc w:val="both"/>
        <w:rPr>
          <w:rFonts w:ascii="Trebuchet MS" w:hAnsi="Trebuchet MS"/>
        </w:rPr>
      </w:pPr>
      <w:r w:rsidRPr="00CB4FC5">
        <w:rPr>
          <w:rFonts w:ascii="Trebuchet MS" w:hAnsi="Trebuchet MS"/>
        </w:rPr>
        <w:t>[</w:t>
      </w:r>
      <w:r w:rsidR="00134A64">
        <w:rPr>
          <w:rFonts w:ascii="Trebuchet MS" w:hAnsi="Trebuchet MS"/>
        </w:rPr>
        <w:t>3</w:t>
      </w:r>
      <w:r w:rsidRPr="00CB4FC5">
        <w:rPr>
          <w:rFonts w:ascii="Trebuchet MS" w:hAnsi="Trebuchet MS"/>
        </w:rPr>
        <w:t xml:space="preserve">] </w:t>
      </w:r>
      <w:r w:rsidR="000D552D" w:rsidRPr="00CB4FC5">
        <w:rPr>
          <w:rFonts w:ascii="Trebuchet MS" w:hAnsi="Trebuchet MS"/>
        </w:rPr>
        <w:t>BS</w:t>
      </w:r>
      <w:r w:rsidR="001B4983">
        <w:rPr>
          <w:rFonts w:ascii="Trebuchet MS" w:hAnsi="Trebuchet MS"/>
        </w:rPr>
        <w:t xml:space="preserve"> </w:t>
      </w:r>
      <w:r w:rsidR="000D552D" w:rsidRPr="00CB4FC5">
        <w:rPr>
          <w:rFonts w:ascii="Trebuchet MS" w:hAnsi="Trebuchet MS"/>
        </w:rPr>
        <w:t>EN</w:t>
      </w:r>
      <w:r w:rsidR="001B4983">
        <w:rPr>
          <w:rFonts w:ascii="Trebuchet MS" w:hAnsi="Trebuchet MS"/>
        </w:rPr>
        <w:t xml:space="preserve"> </w:t>
      </w:r>
      <w:r w:rsidR="000D552D" w:rsidRPr="00CB4FC5">
        <w:rPr>
          <w:rFonts w:ascii="Trebuchet MS" w:hAnsi="Trebuchet MS"/>
        </w:rPr>
        <w:t>13808:2013 Bitumen and bituminous binders – Framework for specifying cationic bituminous emulsions</w:t>
      </w:r>
    </w:p>
    <w:p w14:paraId="3BC0E5A0" w14:textId="140DF5CF" w:rsidR="000D552D" w:rsidRPr="00CB4FC5" w:rsidRDefault="000D552D" w:rsidP="005B4DDB">
      <w:pPr>
        <w:jc w:val="both"/>
        <w:rPr>
          <w:rFonts w:ascii="Trebuchet MS" w:hAnsi="Trebuchet MS"/>
        </w:rPr>
      </w:pPr>
      <w:r w:rsidRPr="00CB4FC5">
        <w:rPr>
          <w:rFonts w:ascii="Trebuchet MS" w:hAnsi="Trebuchet MS"/>
        </w:rPr>
        <w:t>[</w:t>
      </w:r>
      <w:r w:rsidR="00134A64">
        <w:rPr>
          <w:rFonts w:ascii="Trebuchet MS" w:hAnsi="Trebuchet MS"/>
        </w:rPr>
        <w:t>4</w:t>
      </w:r>
      <w:r w:rsidRPr="00CB4FC5">
        <w:rPr>
          <w:rFonts w:ascii="Trebuchet MS" w:hAnsi="Trebuchet MS"/>
        </w:rPr>
        <w:t>] Road Note 39: Design Guide for Road Surface Dressing – published by Transport Research Laboratory</w:t>
      </w:r>
    </w:p>
    <w:p w14:paraId="67015CCB" w14:textId="77777777" w:rsidR="000D552D" w:rsidRPr="00CB4FC5" w:rsidRDefault="000D552D" w:rsidP="00CB4FC5">
      <w:pPr>
        <w:rPr>
          <w:rFonts w:ascii="Trebuchet MS" w:hAnsi="Trebuchet MS"/>
        </w:rPr>
      </w:pPr>
    </w:p>
    <w:p w14:paraId="48348091" w14:textId="77777777" w:rsidR="00CB4FC5" w:rsidRPr="00CB4FC5" w:rsidRDefault="000D552D" w:rsidP="005B4DDB">
      <w:pPr>
        <w:jc w:val="both"/>
        <w:rPr>
          <w:rFonts w:ascii="Trebuchet MS" w:hAnsi="Trebuchet MS"/>
          <w:b/>
          <w:bCs/>
        </w:rPr>
      </w:pPr>
      <w:r w:rsidRPr="00CB4FC5">
        <w:rPr>
          <w:rFonts w:ascii="Trebuchet MS" w:hAnsi="Trebuchet MS"/>
          <w:b/>
          <w:bCs/>
        </w:rPr>
        <w:t xml:space="preserve">For further information on all REA Technical Data sheets please look on the “Technical Datasheets” webpage on </w:t>
      </w:r>
      <w:hyperlink r:id="rId11" w:history="1">
        <w:r w:rsidRPr="00CB4FC5">
          <w:rPr>
            <w:rStyle w:val="Hyperlink"/>
            <w:rFonts w:ascii="Trebuchet MS" w:hAnsi="Trebuchet MS"/>
            <w:b/>
            <w:bCs/>
          </w:rPr>
          <w:t>www.rea.org.uk</w:t>
        </w:r>
      </w:hyperlink>
      <w:r w:rsidRPr="00CB4FC5">
        <w:rPr>
          <w:rFonts w:ascii="Trebuchet MS" w:hAnsi="Trebuchet MS"/>
          <w:b/>
          <w:bCs/>
        </w:rPr>
        <w:t xml:space="preserve"> </w:t>
      </w:r>
    </w:p>
    <w:p w14:paraId="75DEB75A" w14:textId="2B9D2F83" w:rsidR="000D552D" w:rsidRPr="00CB4FC5" w:rsidRDefault="000D552D" w:rsidP="005B4DDB">
      <w:pPr>
        <w:jc w:val="both"/>
        <w:rPr>
          <w:rFonts w:ascii="Trebuchet MS" w:hAnsi="Trebuchet MS"/>
          <w:i/>
          <w:iCs/>
        </w:rPr>
      </w:pPr>
      <w:r w:rsidRPr="00CB4FC5">
        <w:rPr>
          <w:rFonts w:ascii="Trebuchet MS" w:hAnsi="Trebuchet MS"/>
          <w:i/>
          <w:iCs/>
        </w:rPr>
        <w:t>Whilst every care is taken to ensure the accuracy of the general advice offered herein by the Road Emulsion Association, no liability or responsibility of any kind can be accepted by the Association.</w:t>
      </w:r>
    </w:p>
    <w:sectPr w:rsidR="000D552D" w:rsidRPr="00CB4FC5">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1767" w14:textId="77777777" w:rsidR="00A94A71" w:rsidRDefault="00A94A71" w:rsidP="00352B06">
      <w:pPr>
        <w:spacing w:after="0" w:line="240" w:lineRule="auto"/>
      </w:pPr>
      <w:r>
        <w:separator/>
      </w:r>
    </w:p>
  </w:endnote>
  <w:endnote w:type="continuationSeparator" w:id="0">
    <w:p w14:paraId="21D9BFD2" w14:textId="77777777" w:rsidR="00A94A71" w:rsidRDefault="00A94A71" w:rsidP="0035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5B1F" w14:textId="2ED4E7F2" w:rsidR="00352B06" w:rsidRDefault="00352B06">
    <w:pPr>
      <w:pStyle w:val="Footer"/>
    </w:pPr>
    <w:r>
      <w:rPr>
        <w:noProof/>
      </w:rPr>
      <mc:AlternateContent>
        <mc:Choice Requires="wps">
          <w:drawing>
            <wp:anchor distT="0" distB="0" distL="0" distR="0" simplePos="0" relativeHeight="251658240" behindDoc="0" locked="0" layoutInCell="1" allowOverlap="1" wp14:anchorId="38D2F2CD" wp14:editId="3A7D263E">
              <wp:simplePos x="635" y="635"/>
              <wp:positionH relativeFrom="page">
                <wp:align>center</wp:align>
              </wp:positionH>
              <wp:positionV relativeFrom="page">
                <wp:align>bottom</wp:align>
              </wp:positionV>
              <wp:extent cx="4411980" cy="347980"/>
              <wp:effectExtent l="0" t="0" r="7620" b="0"/>
              <wp:wrapNone/>
              <wp:docPr id="1057318360"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0C4F6065" w14:textId="5C31CA65" w:rsidR="00352B06" w:rsidRPr="00352B06" w:rsidRDefault="00352B06" w:rsidP="00352B06">
                          <w:pPr>
                            <w:spacing w:after="0"/>
                            <w:rPr>
                              <w:rFonts w:ascii="Arial" w:eastAsia="Arial" w:hAnsi="Arial" w:cs="Arial"/>
                              <w:noProof/>
                              <w:color w:val="29CF00"/>
                              <w:sz w:val="20"/>
                              <w:szCs w:val="20"/>
                            </w:rPr>
                          </w:pPr>
                          <w:r w:rsidRPr="00352B06">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2F2CD"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" filled="f" stroked="f">
              <v:fill o:detectmouseclick="t"/>
              <v:textbox style="mso-fit-shape-to-text:t" inset="0,0,0,15pt">
                <w:txbxContent>
                  <w:p w14:paraId="0C4F6065" w14:textId="5C31CA65" w:rsidR="00352B06" w:rsidRPr="00352B06" w:rsidRDefault="00352B06" w:rsidP="00352B06">
                    <w:pPr>
                      <w:spacing w:after="0"/>
                      <w:rPr>
                        <w:rFonts w:ascii="Arial" w:eastAsia="Arial" w:hAnsi="Arial" w:cs="Arial"/>
                        <w:noProof/>
                        <w:color w:val="29CF00"/>
                        <w:sz w:val="20"/>
                        <w:szCs w:val="20"/>
                      </w:rPr>
                    </w:pPr>
                    <w:r w:rsidRPr="00352B06">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D7DE" w14:textId="65F71528" w:rsidR="00352B06" w:rsidRDefault="00352B06">
    <w:pPr>
      <w:pStyle w:val="Footer"/>
    </w:pPr>
    <w:r>
      <w:rPr>
        <w:noProof/>
      </w:rPr>
      <mc:AlternateContent>
        <mc:Choice Requires="wps">
          <w:drawing>
            <wp:anchor distT="0" distB="0" distL="0" distR="0" simplePos="0" relativeHeight="251658241" behindDoc="0" locked="0" layoutInCell="1" allowOverlap="1" wp14:anchorId="52F37B2B" wp14:editId="6D53DADA">
              <wp:simplePos x="635" y="635"/>
              <wp:positionH relativeFrom="page">
                <wp:align>center</wp:align>
              </wp:positionH>
              <wp:positionV relativeFrom="page">
                <wp:align>bottom</wp:align>
              </wp:positionV>
              <wp:extent cx="4411980" cy="347980"/>
              <wp:effectExtent l="0" t="0" r="7620" b="0"/>
              <wp:wrapNone/>
              <wp:docPr id="36957135"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78355752" w14:textId="3163CF1D" w:rsidR="00352B06" w:rsidRPr="00352B06" w:rsidRDefault="00352B06" w:rsidP="00352B06">
                          <w:pPr>
                            <w:spacing w:after="0"/>
                            <w:rPr>
                              <w:rFonts w:ascii="Arial" w:eastAsia="Arial" w:hAnsi="Arial" w:cs="Arial"/>
                              <w:noProof/>
                              <w:color w:val="29CF00"/>
                              <w:sz w:val="20"/>
                              <w:szCs w:val="20"/>
                            </w:rPr>
                          </w:pPr>
                          <w:r w:rsidRPr="00352B06">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37B2B"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margin-left:0;margin-top:0;width:347.4pt;height:27.4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" filled="f" stroked="f">
              <v:fill o:detectmouseclick="t"/>
              <v:textbox style="mso-fit-shape-to-text:t" inset="0,0,0,15pt">
                <w:txbxContent>
                  <w:p w14:paraId="78355752" w14:textId="3163CF1D" w:rsidR="00352B06" w:rsidRPr="00352B06" w:rsidRDefault="00352B06" w:rsidP="00352B06">
                    <w:pPr>
                      <w:spacing w:after="0"/>
                      <w:rPr>
                        <w:rFonts w:ascii="Arial" w:eastAsia="Arial" w:hAnsi="Arial" w:cs="Arial"/>
                        <w:noProof/>
                        <w:color w:val="29CF00"/>
                        <w:sz w:val="20"/>
                        <w:szCs w:val="20"/>
                      </w:rPr>
                    </w:pPr>
                    <w:r w:rsidRPr="00352B06">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D169" w14:textId="05DF84A6" w:rsidR="00352B06" w:rsidRDefault="00352B06">
    <w:pPr>
      <w:pStyle w:val="Footer"/>
    </w:pPr>
    <w:r>
      <w:rPr>
        <w:noProof/>
      </w:rPr>
      <mc:AlternateContent>
        <mc:Choice Requires="wps">
          <w:drawing>
            <wp:anchor distT="0" distB="0" distL="0" distR="0" simplePos="0" relativeHeight="251658242" behindDoc="0" locked="0" layoutInCell="1" allowOverlap="1" wp14:anchorId="6AF08B26" wp14:editId="7D4961C4">
              <wp:simplePos x="635" y="635"/>
              <wp:positionH relativeFrom="page">
                <wp:align>center</wp:align>
              </wp:positionH>
              <wp:positionV relativeFrom="page">
                <wp:align>bottom</wp:align>
              </wp:positionV>
              <wp:extent cx="4411980" cy="347980"/>
              <wp:effectExtent l="0" t="0" r="7620" b="0"/>
              <wp:wrapNone/>
              <wp:docPr id="378459563"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35391B81" w14:textId="6AE0E69F" w:rsidR="00352B06" w:rsidRPr="00352B06" w:rsidRDefault="00352B06" w:rsidP="00352B06">
                          <w:pPr>
                            <w:spacing w:after="0"/>
                            <w:rPr>
                              <w:rFonts w:ascii="Arial" w:eastAsia="Arial" w:hAnsi="Arial" w:cs="Arial"/>
                              <w:noProof/>
                              <w:color w:val="29CF00"/>
                              <w:sz w:val="20"/>
                              <w:szCs w:val="20"/>
                            </w:rPr>
                          </w:pPr>
                          <w:r w:rsidRPr="00352B06">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08B26" id="_x0000_t202" coordsize="21600,21600" o:spt="202" path="m,l,21600r21600,l21600,xe">
              <v:stroke joinstyle="miter"/>
              <v:path gradientshapeok="t" o:connecttype="rect"/>
            </v:shapetype>
            <v:shape id="Text Box 1" o:spid="_x0000_s1028" type="#_x0000_t202" alt="C2 - COLAS GROUP INTERNAL: Employees and partners who need to know." style="position:absolute;margin-left:0;margin-top:0;width:347.4pt;height:27.4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" filled="f" stroked="f">
              <v:fill o:detectmouseclick="t"/>
              <v:textbox style="mso-fit-shape-to-text:t" inset="0,0,0,15pt">
                <w:txbxContent>
                  <w:p w14:paraId="35391B81" w14:textId="6AE0E69F" w:rsidR="00352B06" w:rsidRPr="00352B06" w:rsidRDefault="00352B06" w:rsidP="00352B06">
                    <w:pPr>
                      <w:spacing w:after="0"/>
                      <w:rPr>
                        <w:rFonts w:ascii="Arial" w:eastAsia="Arial" w:hAnsi="Arial" w:cs="Arial"/>
                        <w:noProof/>
                        <w:color w:val="29CF00"/>
                        <w:sz w:val="20"/>
                        <w:szCs w:val="20"/>
                      </w:rPr>
                    </w:pPr>
                    <w:r w:rsidRPr="00352B06">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ECCD" w14:textId="77777777" w:rsidR="00A94A71" w:rsidRDefault="00A94A71" w:rsidP="00352B06">
      <w:pPr>
        <w:spacing w:after="0" w:line="240" w:lineRule="auto"/>
      </w:pPr>
      <w:r>
        <w:separator/>
      </w:r>
    </w:p>
  </w:footnote>
  <w:footnote w:type="continuationSeparator" w:id="0">
    <w:p w14:paraId="7DD51519" w14:textId="77777777" w:rsidR="00A94A71" w:rsidRDefault="00A94A71" w:rsidP="00352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2D"/>
    <w:rsid w:val="000D552D"/>
    <w:rsid w:val="00134A64"/>
    <w:rsid w:val="001B4983"/>
    <w:rsid w:val="001E07FE"/>
    <w:rsid w:val="00211152"/>
    <w:rsid w:val="00352B06"/>
    <w:rsid w:val="003676DF"/>
    <w:rsid w:val="00396F6E"/>
    <w:rsid w:val="0046202A"/>
    <w:rsid w:val="00474D77"/>
    <w:rsid w:val="005B4DDB"/>
    <w:rsid w:val="00645B33"/>
    <w:rsid w:val="0079425D"/>
    <w:rsid w:val="0079631D"/>
    <w:rsid w:val="00944C13"/>
    <w:rsid w:val="00951F79"/>
    <w:rsid w:val="00A36DFE"/>
    <w:rsid w:val="00A94A71"/>
    <w:rsid w:val="00B01540"/>
    <w:rsid w:val="00B206AF"/>
    <w:rsid w:val="00CB1B07"/>
    <w:rsid w:val="00CB4FC5"/>
    <w:rsid w:val="00D17EFE"/>
    <w:rsid w:val="00D17FCE"/>
    <w:rsid w:val="00D70130"/>
    <w:rsid w:val="00D91784"/>
    <w:rsid w:val="00DD07A2"/>
    <w:rsid w:val="00E63D63"/>
    <w:rsid w:val="00E706F1"/>
    <w:rsid w:val="00F50E53"/>
    <w:rsid w:val="00F62992"/>
    <w:rsid w:val="07B40853"/>
    <w:rsid w:val="095EB88D"/>
    <w:rsid w:val="0A0F580F"/>
    <w:rsid w:val="10956410"/>
    <w:rsid w:val="18DE3355"/>
    <w:rsid w:val="1AC3F540"/>
    <w:rsid w:val="1DC34B4E"/>
    <w:rsid w:val="21CB4EF9"/>
    <w:rsid w:val="286195BA"/>
    <w:rsid w:val="2B8DC45F"/>
    <w:rsid w:val="2BC147AB"/>
    <w:rsid w:val="2C98E23D"/>
    <w:rsid w:val="2F5B22EF"/>
    <w:rsid w:val="319C463A"/>
    <w:rsid w:val="3872677B"/>
    <w:rsid w:val="3CB7EF61"/>
    <w:rsid w:val="3FEE944F"/>
    <w:rsid w:val="40AD6C3A"/>
    <w:rsid w:val="4AAB9A41"/>
    <w:rsid w:val="501B8296"/>
    <w:rsid w:val="56719BBD"/>
    <w:rsid w:val="60DC4E1C"/>
    <w:rsid w:val="62781E7D"/>
    <w:rsid w:val="682B7D6E"/>
    <w:rsid w:val="7109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B170"/>
  <w15:chartTrackingRefBased/>
  <w15:docId w15:val="{04477B79-F0A1-44CF-966E-21920FBE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52D"/>
    <w:rPr>
      <w:color w:val="0563C1" w:themeColor="hyperlink"/>
      <w:u w:val="single"/>
    </w:rPr>
  </w:style>
  <w:style w:type="character" w:styleId="UnresolvedMention">
    <w:name w:val="Unresolved Mention"/>
    <w:basedOn w:val="DefaultParagraphFont"/>
    <w:uiPriority w:val="99"/>
    <w:semiHidden/>
    <w:unhideWhenUsed/>
    <w:rsid w:val="000D552D"/>
    <w:rPr>
      <w:color w:val="605E5C"/>
      <w:shd w:val="clear" w:color="auto" w:fill="E1DFDD"/>
    </w:rPr>
  </w:style>
  <w:style w:type="paragraph" w:customStyle="1" w:styleId="TableParagraph">
    <w:name w:val="Table Paragraph"/>
    <w:basedOn w:val="Normal"/>
    <w:uiPriority w:val="1"/>
    <w:qFormat/>
    <w:rsid w:val="00CB4FC5"/>
    <w:pPr>
      <w:widowControl w:val="0"/>
      <w:autoSpaceDE w:val="0"/>
      <w:autoSpaceDN w:val="0"/>
      <w:spacing w:after="0" w:line="240" w:lineRule="auto"/>
      <w:ind w:left="107"/>
    </w:pPr>
    <w:rPr>
      <w:rFonts w:ascii="Trebuchet MS" w:eastAsia="Trebuchet MS" w:hAnsi="Trebuchet MS" w:cs="Trebuchet MS"/>
      <w:lang w:val="en-US"/>
    </w:rPr>
  </w:style>
  <w:style w:type="paragraph" w:styleId="Footer">
    <w:name w:val="footer"/>
    <w:basedOn w:val="Normal"/>
    <w:link w:val="FooterChar"/>
    <w:uiPriority w:val="99"/>
    <w:unhideWhenUsed/>
    <w:rsid w:val="00352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B06"/>
  </w:style>
  <w:style w:type="paragraph" w:styleId="Header">
    <w:name w:val="header"/>
    <w:basedOn w:val="Normal"/>
    <w:link w:val="HeaderChar"/>
    <w:uiPriority w:val="99"/>
    <w:semiHidden/>
    <w:unhideWhenUsed/>
    <w:rsid w:val="00474D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B0CAE-052F-4416-B906-A785561AE965}">
  <ds:schemaRefs>
    <ds:schemaRef ds:uri="http://schemas.microsoft.com/sharepoint/v3/contenttype/forms"/>
  </ds:schemaRefs>
</ds:datastoreItem>
</file>

<file path=customXml/itemProps2.xml><?xml version="1.0" encoding="utf-8"?>
<ds:datastoreItem xmlns:ds="http://schemas.openxmlformats.org/officeDocument/2006/customXml" ds:itemID="{4DD4B99F-3006-4089-86C8-4ACA853F3710}">
  <ds:schemaRefs>
    <ds:schemaRef ds:uri="http://schemas.microsoft.com/office/2006/metadata/properties"/>
    <ds:schemaRef ds:uri="http://schemas.microsoft.com/office/infopath/2007/PartnerControls"/>
    <ds:schemaRef ds:uri="3bfd5da4-30ba-4d88-98e1-963edc390054"/>
  </ds:schemaRefs>
</ds:datastoreItem>
</file>

<file path=customXml/itemProps3.xml><?xml version="1.0" encoding="utf-8"?>
<ds:datastoreItem xmlns:ds="http://schemas.openxmlformats.org/officeDocument/2006/customXml" ds:itemID="{8C42F739-0F32-4919-B11C-1FE448211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2</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CADEL, Paul (Colas Ltd)</dc:creator>
  <cp:keywords/>
  <dc:description/>
  <cp:lastModifiedBy>CADEL, Paul (Colas Ltd)</cp:lastModifiedBy>
  <cp:revision>28</cp:revision>
  <dcterms:created xsi:type="dcterms:W3CDTF">2023-05-01T14:01:00Z</dcterms:created>
  <dcterms:modified xsi:type="dcterms:W3CDTF">2025-08-08T15:09:00Z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2023-05-01T14:01:06Z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9ed44775-043f-4b1b-9427-09ee75974e14</vt:lpwstr>
  </property>
  <property fmtid="{D5CDD505-2E9C-101B-9397-08002B2CF9AE}" pid="8" name="MSIP_Label_06b95ba9-d50e-4074-b623-0a9711dc916f_ContentBits">
    <vt:lpwstr>0</vt:lpwstr>
  </property>
  <property fmtid="{D5CDD505-2E9C-101B-9397-08002B2CF9AE}" pid="9" name="ContentTypeId">
    <vt:lpwstr>0x01010016B7E44D7653474F8062AD9B52C46E58</vt:lpwstr>
  </property>
  <property fmtid="{D5CDD505-2E9C-101B-9397-08002B2CF9AE}" pid="10" name="ClassificationContentMarkingFooterShapeIds">
    <vt:lpwstr>168ed5ab,3f0565d8,233ebcf</vt:lpwstr>
  </property>
  <property fmtid="{D5CDD505-2E9C-101B-9397-08002B2CF9AE}" pid="11" name="ClassificationContentMarkingFooterFontProps">
    <vt:lpwstr>#29cf00,10,Arial</vt:lpwstr>
  </property>
  <property fmtid="{D5CDD505-2E9C-101B-9397-08002B2CF9AE}" pid="12" name="ClassificationContentMarkingFooterText">
    <vt:lpwstr>C2 - COLAS GROUP INTERNAL: Employees and partners who need to know.</vt:lpwstr>
  </property>
</Properties>
</file>